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8A57" w14:textId="5CF650BD" w:rsidR="00D804AB" w:rsidRPr="00471A97" w:rsidRDefault="00EC1DB2" w:rsidP="00C17DC9">
      <w:pPr>
        <w:pStyle w:val="NoSpacing"/>
        <w:jc w:val="center"/>
        <w:rPr>
          <w:rFonts w:ascii="Franklin Gothic Book" w:hAnsi="Franklin Gothic Book"/>
          <w:b/>
          <w:sz w:val="32"/>
          <w:szCs w:val="32"/>
        </w:rPr>
      </w:pPr>
      <w:bookmarkStart w:id="0" w:name="_Toc309735587"/>
      <w:r w:rsidRPr="00D37506">
        <w:rPr>
          <w:rFonts w:ascii="Franklin Gothic Book" w:hAnsi="Franklin Gothic Book"/>
          <w:b/>
          <w:noProof/>
          <w:sz w:val="20"/>
          <w:szCs w:val="20"/>
        </w:rPr>
        <w:drawing>
          <wp:anchor distT="0" distB="0" distL="114300" distR="114300" simplePos="0" relativeHeight="251660288" behindDoc="0" locked="0" layoutInCell="1" allowOverlap="1" wp14:anchorId="7B317FC7" wp14:editId="18D6A964">
            <wp:simplePos x="0" y="0"/>
            <wp:positionH relativeFrom="margin">
              <wp:posOffset>340021</wp:posOffset>
            </wp:positionH>
            <wp:positionV relativeFrom="paragraph">
              <wp:posOffset>0</wp:posOffset>
            </wp:positionV>
            <wp:extent cx="5217042" cy="1043408"/>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17042" cy="1043408"/>
                    </a:xfrm>
                    <a:prstGeom prst="rect">
                      <a:avLst/>
                    </a:prstGeom>
                  </pic:spPr>
                </pic:pic>
              </a:graphicData>
            </a:graphic>
            <wp14:sizeRelH relativeFrom="margin">
              <wp14:pctWidth>0</wp14:pctWidth>
            </wp14:sizeRelH>
            <wp14:sizeRelV relativeFrom="margin">
              <wp14:pctHeight>0</wp14:pctHeight>
            </wp14:sizeRelV>
          </wp:anchor>
        </w:drawing>
      </w:r>
    </w:p>
    <w:p w14:paraId="7E47E3A6" w14:textId="77777777" w:rsidR="00331451" w:rsidRPr="00471A97" w:rsidRDefault="00331451" w:rsidP="00C17DC9">
      <w:pPr>
        <w:pStyle w:val="NoSpacing"/>
        <w:jc w:val="center"/>
        <w:rPr>
          <w:rFonts w:ascii="Franklin Gothic Book" w:hAnsi="Franklin Gothic Book"/>
          <w:sz w:val="16"/>
          <w:szCs w:val="16"/>
        </w:rPr>
      </w:pPr>
    </w:p>
    <w:p w14:paraId="2C6770C5" w14:textId="7B433933" w:rsidR="00D804AB" w:rsidRPr="00471A97" w:rsidRDefault="00D804AB" w:rsidP="00C17DC9">
      <w:pPr>
        <w:pStyle w:val="NoSpacing"/>
        <w:jc w:val="center"/>
        <w:rPr>
          <w:rFonts w:ascii="Franklin Gothic Book" w:hAnsi="Franklin Gothic Book"/>
          <w:b/>
          <w:sz w:val="16"/>
          <w:szCs w:val="16"/>
        </w:rPr>
      </w:pPr>
    </w:p>
    <w:p w14:paraId="08C2FBB1" w14:textId="4555EB5A" w:rsidR="00EC1DB2" w:rsidRPr="00471A97" w:rsidRDefault="00EC1DB2" w:rsidP="00C17DC9">
      <w:pPr>
        <w:pStyle w:val="NoSpacing"/>
        <w:jc w:val="center"/>
        <w:rPr>
          <w:rFonts w:ascii="Franklin Gothic Book" w:hAnsi="Franklin Gothic Book"/>
          <w:b/>
          <w:sz w:val="32"/>
          <w:szCs w:val="32"/>
        </w:rPr>
      </w:pPr>
    </w:p>
    <w:p w14:paraId="0C32A32E" w14:textId="77777777" w:rsidR="00EC1DB2" w:rsidRPr="00471A97" w:rsidRDefault="00EC1DB2" w:rsidP="00C17DC9">
      <w:pPr>
        <w:pStyle w:val="NoSpacing"/>
        <w:jc w:val="center"/>
        <w:rPr>
          <w:rFonts w:ascii="Franklin Gothic Book" w:hAnsi="Franklin Gothic Book"/>
          <w:b/>
          <w:sz w:val="32"/>
          <w:szCs w:val="32"/>
        </w:rPr>
      </w:pPr>
    </w:p>
    <w:p w14:paraId="64AB0770" w14:textId="77777777" w:rsidR="00EC1DB2" w:rsidRPr="00471A97" w:rsidRDefault="00EC1DB2" w:rsidP="00C17DC9">
      <w:pPr>
        <w:pStyle w:val="NoSpacing"/>
        <w:jc w:val="center"/>
        <w:rPr>
          <w:rFonts w:ascii="Franklin Gothic Book" w:hAnsi="Franklin Gothic Book"/>
          <w:b/>
          <w:sz w:val="32"/>
          <w:szCs w:val="32"/>
        </w:rPr>
      </w:pPr>
    </w:p>
    <w:p w14:paraId="175DFB41" w14:textId="3B3E6B66" w:rsidR="00C17DC9" w:rsidRPr="00471A97" w:rsidRDefault="00AE7B1B" w:rsidP="00171AB0">
      <w:pPr>
        <w:pStyle w:val="NoSpacing"/>
        <w:spacing w:line="276" w:lineRule="auto"/>
        <w:jc w:val="center"/>
        <w:rPr>
          <w:rFonts w:ascii="Franklin Gothic Book" w:hAnsi="Franklin Gothic Book"/>
          <w:b/>
          <w:bCs/>
          <w:color w:val="0E233C"/>
          <w:sz w:val="36"/>
          <w:szCs w:val="36"/>
        </w:rPr>
      </w:pPr>
      <w:r w:rsidRPr="00471A97">
        <w:rPr>
          <w:rFonts w:ascii="Franklin Gothic Book" w:hAnsi="Franklin Gothic Book"/>
          <w:b/>
          <w:bCs/>
          <w:color w:val="0E233C"/>
          <w:sz w:val="36"/>
          <w:szCs w:val="36"/>
        </w:rPr>
        <w:t>Allowable</w:t>
      </w:r>
      <w:r w:rsidR="00C17DC9" w:rsidRPr="00471A97">
        <w:rPr>
          <w:rFonts w:ascii="Franklin Gothic Book" w:hAnsi="Franklin Gothic Book"/>
          <w:b/>
          <w:bCs/>
          <w:color w:val="0E233C"/>
          <w:sz w:val="36"/>
          <w:szCs w:val="36"/>
        </w:rPr>
        <w:t xml:space="preserve"> and Unallowable Costs</w:t>
      </w:r>
    </w:p>
    <w:bookmarkEnd w:id="0"/>
    <w:p w14:paraId="0B7C9D3F" w14:textId="2F90B3D3" w:rsidR="00C17DC9" w:rsidRPr="00471A97" w:rsidRDefault="00C17DC9" w:rsidP="00C17DC9">
      <w:pPr>
        <w:spacing w:after="0" w:line="240" w:lineRule="auto"/>
        <w:rPr>
          <w:rFonts w:ascii="Franklin Gothic Book" w:eastAsia="Times New Roman" w:hAnsi="Franklin Gothic Book" w:cs="Calibri"/>
          <w:b/>
          <w:color w:val="326295"/>
          <w:sz w:val="24"/>
          <w:szCs w:val="24"/>
        </w:rPr>
      </w:pPr>
      <w:r w:rsidRPr="00471A97">
        <w:rPr>
          <w:rFonts w:ascii="Franklin Gothic Book" w:eastAsia="Times New Roman" w:hAnsi="Franklin Gothic Book" w:cs="Calibri"/>
          <w:b/>
          <w:noProof/>
          <w:color w:val="326295"/>
          <w:sz w:val="24"/>
          <w:szCs w:val="24"/>
        </w:rPr>
        <mc:AlternateContent>
          <mc:Choice Requires="wps">
            <w:drawing>
              <wp:anchor distT="0" distB="0" distL="114300" distR="114300" simplePos="0" relativeHeight="251658240" behindDoc="0" locked="0" layoutInCell="1" allowOverlap="1" wp14:anchorId="7CDE53A0" wp14:editId="5E3367F9">
                <wp:simplePos x="0" y="0"/>
                <wp:positionH relativeFrom="column">
                  <wp:posOffset>0</wp:posOffset>
                </wp:positionH>
                <wp:positionV relativeFrom="paragraph">
                  <wp:posOffset>80010</wp:posOffset>
                </wp:positionV>
                <wp:extent cx="5943600" cy="0"/>
                <wp:effectExtent l="0" t="1270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3262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3860F6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6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BzAEAAHgDAAAOAAAAZHJzL2Uyb0RvYy54bWysU01v2zAMvQ/YfxB0X+y4TbAacXpI1126&#10;LUC6H8BIsi1MFgVJiZ1/P0r52Lrdhl0EkXx8Jt+TV4/TYNhR+aDRNnw+KzlTVqDUtmv499fnDx85&#10;CxGsBINWNfykAn9cv3+3Gl2tKuzRSOUZkdhQj67hfYyuLoogejVAmKFTloot+gEihb4rpIeR2AdT&#10;VGW5LEb00nkUKgTKPp2LfJ3521aJ+K1tg4rMNJxmi/n0+dyns1ivoO48uF6LyxjwD1MMoC199Eb1&#10;BBHYweu/qAYtPAZs40zgUGDbaqHyDrTNvPxjm10PTuVdSJzgbjKF/0crvh63nmlJ3nFmYSCLdtGD&#10;7vrINmgtCYiezZNOows1wTd269OmYrI794LiR2AWNz3YTuV5X0+OSHJH8aYlBcHR1/bjF5SEgUPE&#10;LNrU+iFRkhxsyt6cbt6oKTJBycXD/d2yJAvFtVZAfW10PsTPCgeWLg032ibZoIbjS4g0OkGvkJS2&#10;+KyNydYby8aGV4t7ok6lgEbLVM2B7/Yb49kR6PXcVcvqYZGEILY3MI8HKzNbr0B+utwjaHO+E95Y&#10;arsKcJZyj/K09Yku5cneTHx5iun9/B5n1K8fZv0TAAD//wMAUEsDBBQABgAIAAAAIQDSu7Zg4AAA&#10;AAsBAAAPAAAAZHJzL2Rvd25yZXYueG1sTI9BS8NAEIXvgv9hGcGLtJtGCJpmU0TRg0ihtaV4m2bH&#10;JJidDdltG/+9Iz3oZWC+x7x5r1iMrlNHGkLr2cBsmoAirrxtuTaweX+e3IEKEdli55kMfFOARXl5&#10;UWBu/YlXdFzHWokJhxwNNDH2udahashhmPqeWLRPPziMsg61tgOexNx1Ok2STDtsWT402NNjQ9XX&#10;+uAMIH68VMmy3d2412GVzpZvu802GHN9NT7NZTzMQUUa498F/HaQ/FBKsL0/sA2qMyBtotA0AyXq&#10;/W0mYH8Guiz0/w7lDwAAAP//AwBQSwECLQAUAAYACAAAACEAtoM4kv4AAADhAQAAEwAAAAAAAAAA&#10;AAAAAAAAAAAAW0NvbnRlbnRfVHlwZXNdLnhtbFBLAQItABQABgAIAAAAIQA4/SH/1gAAAJQBAAAL&#10;AAAAAAAAAAAAAAAAAC8BAABfcmVscy8ucmVsc1BLAQItABQABgAIAAAAIQBRzn+BzAEAAHgDAAAO&#10;AAAAAAAAAAAAAAAAAC4CAABkcnMvZTJvRG9jLnhtbFBLAQItABQABgAIAAAAIQDSu7Zg4AAAAAsB&#10;AAAPAAAAAAAAAAAAAAAAACYEAABkcnMvZG93bnJldi54bWxQSwUGAAAAAAQABADzAAAAMwUAAAAA&#10;" strokecolor="#326295" strokeweight="2pt"/>
            </w:pict>
          </mc:Fallback>
        </mc:AlternateContent>
      </w:r>
    </w:p>
    <w:p w14:paraId="12005B00" w14:textId="77777777" w:rsidR="00171AB0" w:rsidRPr="00471A97" w:rsidRDefault="00171AB0" w:rsidP="00C17DC9">
      <w:pPr>
        <w:widowControl w:val="0"/>
        <w:tabs>
          <w:tab w:val="left" w:pos="-1440"/>
        </w:tabs>
        <w:autoSpaceDE w:val="0"/>
        <w:autoSpaceDN w:val="0"/>
        <w:adjustRightInd w:val="0"/>
        <w:spacing w:after="0" w:line="240" w:lineRule="auto"/>
        <w:rPr>
          <w:rFonts w:ascii="Franklin Gothic Book" w:eastAsia="Times New Roman" w:hAnsi="Franklin Gothic Book" w:cs="Calibri"/>
          <w:sz w:val="23"/>
          <w:szCs w:val="23"/>
        </w:rPr>
      </w:pPr>
    </w:p>
    <w:p w14:paraId="7556E90E" w14:textId="79EFF984" w:rsidR="00752420" w:rsidRPr="00471A97" w:rsidRDefault="00752420" w:rsidP="00752420">
      <w:pPr>
        <w:widowControl w:val="0"/>
        <w:tabs>
          <w:tab w:val="left" w:pos="-1440"/>
        </w:tabs>
        <w:autoSpaceDE w:val="0"/>
        <w:autoSpaceDN w:val="0"/>
        <w:adjustRightInd w:val="0"/>
        <w:spacing w:after="0"/>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 xml:space="preserve">The Advancing a Healthier Wisconsin Endowment (AHW) is governed by </w:t>
      </w:r>
      <w:proofErr w:type="gramStart"/>
      <w:r w:rsidRPr="00471A97">
        <w:rPr>
          <w:rFonts w:ascii="Franklin Gothic Book" w:eastAsia="Times New Roman" w:hAnsi="Franklin Gothic Book" w:cs="Calibri"/>
          <w:sz w:val="24"/>
          <w:szCs w:val="24"/>
        </w:rPr>
        <w:t>a number of</w:t>
      </w:r>
      <w:proofErr w:type="gramEnd"/>
      <w:r w:rsidRPr="00471A97">
        <w:rPr>
          <w:rFonts w:ascii="Franklin Gothic Book" w:eastAsia="Times New Roman" w:hAnsi="Franklin Gothic Book" w:cs="Calibri"/>
          <w:sz w:val="24"/>
          <w:szCs w:val="24"/>
        </w:rPr>
        <w:t xml:space="preserve"> unique rules and requirements through the Insurance Commissioner’s Order, the Grant Agreement with the Medical College of Wisconsin, and the Medical College of Wisconsin’s rules and policies</w:t>
      </w:r>
      <w:r w:rsidR="004B19CF" w:rsidRPr="00471A97">
        <w:rPr>
          <w:rFonts w:ascii="Franklin Gothic Book" w:eastAsia="Times New Roman" w:hAnsi="Franklin Gothic Book" w:cs="Calibri"/>
          <w:sz w:val="24"/>
          <w:szCs w:val="24"/>
        </w:rPr>
        <w:t xml:space="preserve">. </w:t>
      </w:r>
      <w:r w:rsidRPr="00471A97">
        <w:rPr>
          <w:rFonts w:ascii="Franklin Gothic Book" w:eastAsia="Times New Roman" w:hAnsi="Franklin Gothic Book" w:cs="Calibri"/>
          <w:sz w:val="24"/>
          <w:szCs w:val="24"/>
        </w:rPr>
        <w:t>It is within this context that AHW works diligently to ensure the best stewardship of the funds. AHW reserves the right to question or deny any expense whether it is specifically mentioned in this policy or included within the project budget.</w:t>
      </w:r>
    </w:p>
    <w:p w14:paraId="140F526A" w14:textId="77777777" w:rsidR="00752420" w:rsidRPr="00471A97" w:rsidRDefault="00752420" w:rsidP="00171AB0">
      <w:pPr>
        <w:widowControl w:val="0"/>
        <w:tabs>
          <w:tab w:val="left" w:pos="-1440"/>
        </w:tabs>
        <w:autoSpaceDE w:val="0"/>
        <w:autoSpaceDN w:val="0"/>
        <w:adjustRightInd w:val="0"/>
        <w:spacing w:after="0"/>
        <w:rPr>
          <w:rFonts w:ascii="Franklin Gothic Book" w:eastAsia="Times New Roman" w:hAnsi="Franklin Gothic Book" w:cs="Calibri"/>
          <w:sz w:val="24"/>
          <w:szCs w:val="24"/>
        </w:rPr>
      </w:pPr>
    </w:p>
    <w:p w14:paraId="46A928F1" w14:textId="7F5D817C" w:rsidR="0050632A" w:rsidRPr="00471A97" w:rsidRDefault="0050632A" w:rsidP="00171AB0">
      <w:pPr>
        <w:widowControl w:val="0"/>
        <w:tabs>
          <w:tab w:val="left" w:pos="-1440"/>
        </w:tabs>
        <w:autoSpaceDE w:val="0"/>
        <w:autoSpaceDN w:val="0"/>
        <w:adjustRightInd w:val="0"/>
        <w:spacing w:after="0"/>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Cost considerations are critical throughout award life.</w:t>
      </w:r>
      <w:r w:rsidR="008C28E9" w:rsidRPr="00471A97">
        <w:rPr>
          <w:rFonts w:ascii="Franklin Gothic Book" w:eastAsia="Times New Roman" w:hAnsi="Franklin Gothic Book" w:cs="Calibri"/>
          <w:sz w:val="24"/>
          <w:szCs w:val="24"/>
        </w:rPr>
        <w:t xml:space="preserve"> </w:t>
      </w:r>
      <w:r w:rsidR="00F82C82" w:rsidRPr="00471A97">
        <w:rPr>
          <w:rFonts w:ascii="Franklin Gothic Book" w:eastAsia="Times New Roman" w:hAnsi="Franklin Gothic Book" w:cs="Calibri"/>
          <w:sz w:val="24"/>
          <w:szCs w:val="24"/>
        </w:rPr>
        <w:t>Approved a</w:t>
      </w:r>
      <w:r w:rsidRPr="00471A97">
        <w:rPr>
          <w:rFonts w:ascii="Franklin Gothic Book" w:eastAsia="Times New Roman" w:hAnsi="Franklin Gothic Book" w:cs="Calibri"/>
          <w:sz w:val="24"/>
          <w:szCs w:val="24"/>
        </w:rPr>
        <w:t xml:space="preserve">ward budgets and all </w:t>
      </w:r>
      <w:r w:rsidR="00F82C82" w:rsidRPr="00471A97">
        <w:rPr>
          <w:rFonts w:ascii="Franklin Gothic Book" w:eastAsia="Times New Roman" w:hAnsi="Franklin Gothic Book" w:cs="Calibri"/>
          <w:sz w:val="24"/>
          <w:szCs w:val="24"/>
        </w:rPr>
        <w:t>project change requests</w:t>
      </w:r>
      <w:r w:rsidRPr="00471A97">
        <w:rPr>
          <w:rFonts w:ascii="Franklin Gothic Book" w:eastAsia="Times New Roman" w:hAnsi="Franklin Gothic Book" w:cs="Calibri"/>
          <w:sz w:val="24"/>
          <w:szCs w:val="24"/>
        </w:rPr>
        <w:t xml:space="preserve"> are reviewed for compliance with the governing cost principles and other requirements and policies applicable to the type of award.</w:t>
      </w:r>
      <w:r w:rsidR="008C28E9" w:rsidRPr="00471A97">
        <w:rPr>
          <w:rFonts w:ascii="Franklin Gothic Book" w:eastAsia="Times New Roman" w:hAnsi="Franklin Gothic Book" w:cs="Calibri"/>
          <w:sz w:val="24"/>
          <w:szCs w:val="24"/>
        </w:rPr>
        <w:t xml:space="preserve"> </w:t>
      </w:r>
    </w:p>
    <w:p w14:paraId="62948216" w14:textId="77777777" w:rsidR="0050632A" w:rsidRPr="00471A97" w:rsidRDefault="0050632A" w:rsidP="00171AB0">
      <w:pPr>
        <w:widowControl w:val="0"/>
        <w:tabs>
          <w:tab w:val="left" w:pos="-1440"/>
        </w:tabs>
        <w:autoSpaceDE w:val="0"/>
        <w:autoSpaceDN w:val="0"/>
        <w:adjustRightInd w:val="0"/>
        <w:spacing w:after="0"/>
        <w:rPr>
          <w:rFonts w:ascii="Franklin Gothic Book" w:eastAsia="Times New Roman" w:hAnsi="Franklin Gothic Book" w:cs="Calibri"/>
          <w:sz w:val="24"/>
          <w:szCs w:val="24"/>
          <w:highlight w:val="yellow"/>
        </w:rPr>
      </w:pPr>
    </w:p>
    <w:p w14:paraId="01FD29C7" w14:textId="12EFC4A3" w:rsidR="008C28E9" w:rsidRPr="00471A97" w:rsidRDefault="008C28E9" w:rsidP="00171AB0">
      <w:pPr>
        <w:widowControl w:val="0"/>
        <w:tabs>
          <w:tab w:val="left" w:pos="-1440"/>
        </w:tabs>
        <w:autoSpaceDE w:val="0"/>
        <w:autoSpaceDN w:val="0"/>
        <w:adjustRightInd w:val="0"/>
        <w:spacing w:after="0"/>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 xml:space="preserve">The decision of whether a proposed cost is </w:t>
      </w:r>
      <w:r w:rsidR="002826D9" w:rsidRPr="00471A97">
        <w:rPr>
          <w:rFonts w:ascii="Franklin Gothic Book" w:eastAsia="Times New Roman" w:hAnsi="Franklin Gothic Book" w:cs="Calibri"/>
          <w:sz w:val="24"/>
          <w:szCs w:val="24"/>
        </w:rPr>
        <w:t xml:space="preserve">allowable </w:t>
      </w:r>
      <w:r w:rsidRPr="00471A97">
        <w:rPr>
          <w:rFonts w:ascii="Franklin Gothic Book" w:eastAsia="Times New Roman" w:hAnsi="Franklin Gothic Book" w:cs="Calibri"/>
          <w:sz w:val="24"/>
          <w:szCs w:val="24"/>
        </w:rPr>
        <w:t xml:space="preserve">or unallowable is based on the ability to specifically associate the cost with the project, rather than on the nature of the goods or services. </w:t>
      </w:r>
    </w:p>
    <w:p w14:paraId="683860BA" w14:textId="413D5F11" w:rsidR="008C28E9" w:rsidRPr="00471A97" w:rsidRDefault="00375621" w:rsidP="00171AB0">
      <w:pPr>
        <w:pStyle w:val="ListParagraph"/>
        <w:widowControl w:val="0"/>
        <w:numPr>
          <w:ilvl w:val="0"/>
          <w:numId w:val="1"/>
        </w:numPr>
        <w:tabs>
          <w:tab w:val="left" w:pos="-1440"/>
        </w:tabs>
        <w:autoSpaceDE w:val="0"/>
        <w:autoSpaceDN w:val="0"/>
        <w:adjustRightInd w:val="0"/>
        <w:spacing w:after="0"/>
        <w:rPr>
          <w:rFonts w:ascii="Franklin Gothic Book" w:eastAsia="Times New Roman" w:hAnsi="Franklin Gothic Book" w:cs="Calibri"/>
          <w:sz w:val="24"/>
          <w:szCs w:val="24"/>
        </w:rPr>
      </w:pPr>
      <w:r w:rsidRPr="00471A97">
        <w:rPr>
          <w:rFonts w:ascii="Franklin Gothic Book" w:eastAsia="Times New Roman" w:hAnsi="Franklin Gothic Book" w:cs="Calibri"/>
          <w:b/>
          <w:sz w:val="24"/>
          <w:szCs w:val="24"/>
        </w:rPr>
        <w:t xml:space="preserve">Allowable </w:t>
      </w:r>
      <w:r w:rsidR="008C28E9" w:rsidRPr="00471A97">
        <w:rPr>
          <w:rFonts w:ascii="Franklin Gothic Book" w:eastAsia="Times New Roman" w:hAnsi="Franklin Gothic Book" w:cs="Calibri"/>
          <w:b/>
          <w:sz w:val="24"/>
          <w:szCs w:val="24"/>
        </w:rPr>
        <w:t>Expenses</w:t>
      </w:r>
      <w:r w:rsidR="008C28E9" w:rsidRPr="00471A97">
        <w:rPr>
          <w:rFonts w:ascii="Franklin Gothic Book" w:eastAsia="Times New Roman" w:hAnsi="Franklin Gothic Book" w:cs="Calibri"/>
          <w:sz w:val="24"/>
          <w:szCs w:val="24"/>
        </w:rPr>
        <w:t xml:space="preserve"> – </w:t>
      </w:r>
      <w:r w:rsidRPr="00471A97">
        <w:rPr>
          <w:rFonts w:ascii="Franklin Gothic Book" w:eastAsia="Times New Roman" w:hAnsi="Franklin Gothic Book" w:cs="Calibri"/>
          <w:sz w:val="24"/>
          <w:szCs w:val="24"/>
        </w:rPr>
        <w:t xml:space="preserve">direct expenses that are </w:t>
      </w:r>
      <w:r w:rsidR="008C28E9" w:rsidRPr="00471A97">
        <w:rPr>
          <w:rFonts w:ascii="Franklin Gothic Book" w:eastAsia="Times New Roman" w:hAnsi="Franklin Gothic Book" w:cs="Calibri"/>
          <w:sz w:val="24"/>
          <w:szCs w:val="24"/>
        </w:rPr>
        <w:t>project-specific and included in the approved AHW project budget</w:t>
      </w:r>
      <w:r w:rsidR="00752420" w:rsidRPr="00471A97">
        <w:rPr>
          <w:rFonts w:ascii="Franklin Gothic Book" w:eastAsia="Times New Roman" w:hAnsi="Franklin Gothic Book" w:cs="Calibri"/>
          <w:sz w:val="24"/>
          <w:szCs w:val="24"/>
        </w:rPr>
        <w:t>.</w:t>
      </w:r>
    </w:p>
    <w:p w14:paraId="7890B692" w14:textId="67E4E22B" w:rsidR="008C28E9" w:rsidRPr="00471A97" w:rsidRDefault="008C28E9" w:rsidP="00171AB0">
      <w:pPr>
        <w:pStyle w:val="ListParagraph"/>
        <w:widowControl w:val="0"/>
        <w:numPr>
          <w:ilvl w:val="0"/>
          <w:numId w:val="1"/>
        </w:numPr>
        <w:tabs>
          <w:tab w:val="left" w:pos="-1440"/>
        </w:tabs>
        <w:autoSpaceDE w:val="0"/>
        <w:autoSpaceDN w:val="0"/>
        <w:adjustRightInd w:val="0"/>
        <w:spacing w:after="0"/>
        <w:rPr>
          <w:rFonts w:ascii="Franklin Gothic Book" w:eastAsia="Times New Roman" w:hAnsi="Franklin Gothic Book" w:cs="Calibri"/>
          <w:sz w:val="24"/>
          <w:szCs w:val="24"/>
        </w:rPr>
      </w:pPr>
      <w:r w:rsidRPr="00471A97">
        <w:rPr>
          <w:rFonts w:ascii="Franklin Gothic Book" w:eastAsia="Times New Roman" w:hAnsi="Franklin Gothic Book" w:cs="Calibri"/>
          <w:b/>
          <w:sz w:val="24"/>
          <w:szCs w:val="24"/>
        </w:rPr>
        <w:t>Unallowable</w:t>
      </w:r>
      <w:r w:rsidR="00550B97" w:rsidRPr="00471A97">
        <w:rPr>
          <w:rFonts w:ascii="Franklin Gothic Book" w:eastAsia="Times New Roman" w:hAnsi="Franklin Gothic Book" w:cs="Calibri"/>
          <w:b/>
          <w:sz w:val="24"/>
          <w:szCs w:val="24"/>
        </w:rPr>
        <w:t xml:space="preserve"> </w:t>
      </w:r>
      <w:r w:rsidRPr="00471A97">
        <w:rPr>
          <w:rFonts w:ascii="Franklin Gothic Book" w:eastAsia="Times New Roman" w:hAnsi="Franklin Gothic Book" w:cs="Calibri"/>
          <w:b/>
          <w:sz w:val="24"/>
          <w:szCs w:val="24"/>
        </w:rPr>
        <w:t>Expenses</w:t>
      </w:r>
      <w:r w:rsidRPr="00471A97">
        <w:rPr>
          <w:rFonts w:ascii="Franklin Gothic Book" w:eastAsia="Times New Roman" w:hAnsi="Franklin Gothic Book" w:cs="Calibri"/>
          <w:sz w:val="24"/>
          <w:szCs w:val="24"/>
        </w:rPr>
        <w:t xml:space="preserve"> – expenses that may not be incurred using AHW funds</w:t>
      </w:r>
      <w:r w:rsidR="002826D9" w:rsidRPr="00471A97">
        <w:rPr>
          <w:rFonts w:ascii="Franklin Gothic Book" w:eastAsia="Times New Roman" w:hAnsi="Franklin Gothic Book" w:cs="Calibri"/>
          <w:sz w:val="24"/>
          <w:szCs w:val="24"/>
        </w:rPr>
        <w:t>, including any indirect expenses such as expenses related to the normal operating functions of the organization.</w:t>
      </w:r>
    </w:p>
    <w:p w14:paraId="10CD77D6" w14:textId="004493D4" w:rsidR="00985FEB" w:rsidRPr="00471A97" w:rsidRDefault="00985FEB" w:rsidP="00171AB0">
      <w:pPr>
        <w:widowControl w:val="0"/>
        <w:tabs>
          <w:tab w:val="left" w:pos="-1440"/>
        </w:tabs>
        <w:autoSpaceDE w:val="0"/>
        <w:autoSpaceDN w:val="0"/>
        <w:adjustRightInd w:val="0"/>
        <w:spacing w:after="0"/>
        <w:rPr>
          <w:rFonts w:ascii="Franklin Gothic Book" w:eastAsia="Times New Roman" w:hAnsi="Franklin Gothic Book" w:cs="Calibri"/>
          <w:sz w:val="24"/>
          <w:szCs w:val="24"/>
        </w:rPr>
      </w:pPr>
    </w:p>
    <w:p w14:paraId="6558743F" w14:textId="32201D05" w:rsidR="00535D46" w:rsidRPr="00471A97" w:rsidRDefault="00535D46" w:rsidP="00171AB0">
      <w:pPr>
        <w:widowControl w:val="0"/>
        <w:tabs>
          <w:tab w:val="left" w:pos="-1440"/>
        </w:tabs>
        <w:autoSpaceDE w:val="0"/>
        <w:autoSpaceDN w:val="0"/>
        <w:adjustRightInd w:val="0"/>
        <w:spacing w:after="0"/>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 xml:space="preserve">Because of non-supplanting requirements, AHW does not allow indirect costs, such as overhead or administrative costs. AHW expects that grant recipients have existing infrastructure in place to provide indirect support for the grant agreement. Grant recipients must indicate their capacity to oversee and manage the project, programmatically and financially, before any funding decisions are made. Overhead is not an allowable expense, even if there is an existing cost allocation model. </w:t>
      </w:r>
    </w:p>
    <w:p w14:paraId="2D93E466" w14:textId="77777777" w:rsidR="00535D46" w:rsidRPr="00471A97" w:rsidRDefault="00535D46" w:rsidP="00171AB0">
      <w:pPr>
        <w:widowControl w:val="0"/>
        <w:tabs>
          <w:tab w:val="left" w:pos="-1440"/>
        </w:tabs>
        <w:autoSpaceDE w:val="0"/>
        <w:autoSpaceDN w:val="0"/>
        <w:adjustRightInd w:val="0"/>
        <w:spacing w:after="0"/>
        <w:rPr>
          <w:rFonts w:ascii="Franklin Gothic Book" w:eastAsia="Times New Roman" w:hAnsi="Franklin Gothic Book" w:cs="Calibri"/>
          <w:sz w:val="24"/>
          <w:szCs w:val="24"/>
        </w:rPr>
      </w:pPr>
    </w:p>
    <w:p w14:paraId="72FCD41B" w14:textId="0D707061" w:rsidR="00155B21" w:rsidRPr="00471A97" w:rsidRDefault="00155B21" w:rsidP="00171AB0">
      <w:pPr>
        <w:widowControl w:val="0"/>
        <w:tabs>
          <w:tab w:val="left" w:pos="-1440"/>
        </w:tabs>
        <w:autoSpaceDE w:val="0"/>
        <w:autoSpaceDN w:val="0"/>
        <w:adjustRightInd w:val="0"/>
        <w:spacing w:after="0"/>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The following criteria apply to all expenses:</w:t>
      </w:r>
    </w:p>
    <w:p w14:paraId="00FDC196" w14:textId="70FD8DEA" w:rsidR="006916E8" w:rsidRPr="00471A97" w:rsidRDefault="006916E8" w:rsidP="00171AB0">
      <w:pPr>
        <w:pStyle w:val="ListParagraph"/>
        <w:widowControl w:val="0"/>
        <w:numPr>
          <w:ilvl w:val="0"/>
          <w:numId w:val="2"/>
        </w:numPr>
        <w:tabs>
          <w:tab w:val="left" w:pos="-1440"/>
        </w:tabs>
        <w:autoSpaceDE w:val="0"/>
        <w:autoSpaceDN w:val="0"/>
        <w:adjustRightInd w:val="0"/>
        <w:spacing w:after="0"/>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Failure to mention a specific cost category does not imply it is either allowable or unallowable</w:t>
      </w:r>
    </w:p>
    <w:p w14:paraId="7F9F73FE" w14:textId="02BEDF0E" w:rsidR="00155B21" w:rsidRPr="00471A97" w:rsidRDefault="00155B21" w:rsidP="00171AB0">
      <w:pPr>
        <w:pStyle w:val="ListParagraph"/>
        <w:widowControl w:val="0"/>
        <w:numPr>
          <w:ilvl w:val="0"/>
          <w:numId w:val="2"/>
        </w:numPr>
        <w:tabs>
          <w:tab w:val="left" w:pos="-1440"/>
        </w:tabs>
        <w:autoSpaceDE w:val="0"/>
        <w:autoSpaceDN w:val="0"/>
        <w:adjustRightInd w:val="0"/>
        <w:spacing w:after="0"/>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 xml:space="preserve">All purchased materials and supplies must be </w:t>
      </w:r>
      <w:r w:rsidR="002826D9" w:rsidRPr="00471A97">
        <w:rPr>
          <w:rFonts w:ascii="Franklin Gothic Book" w:eastAsia="Times New Roman" w:hAnsi="Franklin Gothic Book" w:cs="Calibri"/>
          <w:sz w:val="24"/>
          <w:szCs w:val="24"/>
        </w:rPr>
        <w:t>consumable during the life</w:t>
      </w:r>
      <w:r w:rsidRPr="00471A97">
        <w:rPr>
          <w:rFonts w:ascii="Franklin Gothic Book" w:eastAsia="Times New Roman" w:hAnsi="Franklin Gothic Book" w:cs="Calibri"/>
          <w:sz w:val="24"/>
          <w:szCs w:val="24"/>
        </w:rPr>
        <w:t xml:space="preserve"> of the project</w:t>
      </w:r>
    </w:p>
    <w:p w14:paraId="3A655430" w14:textId="7AEFE677" w:rsidR="00155B21" w:rsidRPr="00471A97" w:rsidRDefault="00155B21" w:rsidP="00171AB0">
      <w:pPr>
        <w:pStyle w:val="ListParagraph"/>
        <w:widowControl w:val="0"/>
        <w:numPr>
          <w:ilvl w:val="0"/>
          <w:numId w:val="2"/>
        </w:numPr>
        <w:tabs>
          <w:tab w:val="left" w:pos="-1440"/>
        </w:tabs>
        <w:autoSpaceDE w:val="0"/>
        <w:autoSpaceDN w:val="0"/>
        <w:adjustRightInd w:val="0"/>
        <w:spacing w:after="0"/>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Expenses must be demonstrated to be totally or incrementally incurred as a direct association to the</w:t>
      </w:r>
      <w:r w:rsidR="00127DF6" w:rsidRPr="00471A97">
        <w:rPr>
          <w:rFonts w:ascii="Franklin Gothic Book" w:eastAsia="Times New Roman" w:hAnsi="Franklin Gothic Book" w:cs="Calibri"/>
          <w:sz w:val="24"/>
          <w:szCs w:val="24"/>
        </w:rPr>
        <w:t xml:space="preserve"> approved</w:t>
      </w:r>
      <w:r w:rsidRPr="00471A97">
        <w:rPr>
          <w:rFonts w:ascii="Franklin Gothic Book" w:eastAsia="Times New Roman" w:hAnsi="Franklin Gothic Book" w:cs="Calibri"/>
          <w:sz w:val="24"/>
          <w:szCs w:val="24"/>
        </w:rPr>
        <w:t xml:space="preserve"> project aims and objectives</w:t>
      </w:r>
    </w:p>
    <w:p w14:paraId="22AB83FE" w14:textId="11ABB84D" w:rsidR="007906B2" w:rsidRPr="00471A97" w:rsidRDefault="00C970DC" w:rsidP="00171AB0">
      <w:pPr>
        <w:pStyle w:val="ListParagraph"/>
        <w:widowControl w:val="0"/>
        <w:numPr>
          <w:ilvl w:val="0"/>
          <w:numId w:val="2"/>
        </w:numPr>
        <w:tabs>
          <w:tab w:val="left" w:pos="-1440"/>
        </w:tabs>
        <w:autoSpaceDE w:val="0"/>
        <w:autoSpaceDN w:val="0"/>
        <w:adjustRightInd w:val="0"/>
        <w:spacing w:after="0"/>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lastRenderedPageBreak/>
        <w:t>Expenses using AHW funds may not supplant (replace) funds or resources that are available from other sources</w:t>
      </w:r>
    </w:p>
    <w:p w14:paraId="0B5A8A85" w14:textId="77777777" w:rsidR="00F848CB" w:rsidRPr="00471A97" w:rsidRDefault="00F848CB" w:rsidP="00F848CB">
      <w:pPr>
        <w:pStyle w:val="ListParagraph"/>
        <w:numPr>
          <w:ilvl w:val="0"/>
          <w:numId w:val="2"/>
        </w:numPr>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Prorating:</w:t>
      </w:r>
    </w:p>
    <w:p w14:paraId="2B80C943" w14:textId="28B2C8B6" w:rsidR="00F848CB" w:rsidRPr="00471A97" w:rsidRDefault="00A0224B" w:rsidP="00F848CB">
      <w:pPr>
        <w:pStyle w:val="ListParagraph"/>
        <w:numPr>
          <w:ilvl w:val="0"/>
          <w:numId w:val="4"/>
        </w:numPr>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AHW</w:t>
      </w:r>
      <w:r w:rsidR="00F848CB" w:rsidRPr="00471A97">
        <w:rPr>
          <w:rFonts w:ascii="Franklin Gothic Book" w:eastAsia="Times New Roman" w:hAnsi="Franklin Gothic Book" w:cs="Calibri"/>
          <w:sz w:val="24"/>
          <w:szCs w:val="24"/>
        </w:rPr>
        <w:t xml:space="preserve"> will prorate any equipment purchases requested</w:t>
      </w:r>
      <w:r w:rsidR="00072C26" w:rsidRPr="00471A97">
        <w:rPr>
          <w:rFonts w:ascii="Franklin Gothic Book" w:eastAsia="Times New Roman" w:hAnsi="Franklin Gothic Book" w:cs="Calibri"/>
          <w:sz w:val="24"/>
          <w:szCs w:val="24"/>
        </w:rPr>
        <w:t xml:space="preserve"> through a change request </w:t>
      </w:r>
      <w:r w:rsidR="00F848CB" w:rsidRPr="00471A97">
        <w:rPr>
          <w:rFonts w:ascii="Franklin Gothic Book" w:eastAsia="Times New Roman" w:hAnsi="Franklin Gothic Book" w:cs="Calibri"/>
          <w:sz w:val="24"/>
          <w:szCs w:val="24"/>
        </w:rPr>
        <w:t>within the last 12-months of a project period</w:t>
      </w:r>
    </w:p>
    <w:p w14:paraId="06B5EAFB" w14:textId="47FDEF46" w:rsidR="00F848CB" w:rsidRPr="00471A97" w:rsidRDefault="00F848CB" w:rsidP="00F848CB">
      <w:pPr>
        <w:pStyle w:val="ListParagraph"/>
        <w:numPr>
          <w:ilvl w:val="0"/>
          <w:numId w:val="4"/>
        </w:numPr>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Memberships and subscriptions – any memberships and subscriptions tha</w:t>
      </w:r>
      <w:r w:rsidR="00A0224B" w:rsidRPr="00471A97">
        <w:rPr>
          <w:rFonts w:ascii="Franklin Gothic Book" w:eastAsia="Times New Roman" w:hAnsi="Franklin Gothic Book" w:cs="Calibri"/>
          <w:sz w:val="24"/>
          <w:szCs w:val="24"/>
        </w:rPr>
        <w:t>t</w:t>
      </w:r>
      <w:r w:rsidRPr="00471A97">
        <w:rPr>
          <w:rFonts w:ascii="Franklin Gothic Book" w:eastAsia="Times New Roman" w:hAnsi="Franklin Gothic Book" w:cs="Calibri"/>
          <w:sz w:val="24"/>
          <w:szCs w:val="24"/>
        </w:rPr>
        <w:t xml:space="preserve"> extend past the project end date </w:t>
      </w:r>
      <w:r w:rsidR="00A0224B" w:rsidRPr="00471A97">
        <w:rPr>
          <w:rFonts w:ascii="Franklin Gothic Book" w:eastAsia="Times New Roman" w:hAnsi="Franklin Gothic Book" w:cs="Calibri"/>
          <w:sz w:val="24"/>
          <w:szCs w:val="24"/>
        </w:rPr>
        <w:t>must</w:t>
      </w:r>
      <w:r w:rsidRPr="00471A97">
        <w:rPr>
          <w:rFonts w:ascii="Franklin Gothic Book" w:eastAsia="Times New Roman" w:hAnsi="Franklin Gothic Book" w:cs="Calibri"/>
          <w:sz w:val="24"/>
          <w:szCs w:val="24"/>
        </w:rPr>
        <w:t xml:space="preserve"> be prorated</w:t>
      </w:r>
    </w:p>
    <w:p w14:paraId="0C045848" w14:textId="45D02F61" w:rsidR="00F848CB" w:rsidRPr="00471A97" w:rsidRDefault="00F848CB" w:rsidP="00F848CB">
      <w:pPr>
        <w:pStyle w:val="ListParagraph"/>
        <w:numPr>
          <w:ilvl w:val="0"/>
          <w:numId w:val="4"/>
        </w:numPr>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 xml:space="preserve">Maintenance/Software/Service agreements – any maintenance, software, and service agreements that extend past the project end date </w:t>
      </w:r>
      <w:r w:rsidR="00A0224B" w:rsidRPr="00471A97">
        <w:rPr>
          <w:rFonts w:ascii="Franklin Gothic Book" w:eastAsia="Times New Roman" w:hAnsi="Franklin Gothic Book" w:cs="Calibri"/>
          <w:sz w:val="24"/>
          <w:szCs w:val="24"/>
        </w:rPr>
        <w:t xml:space="preserve">must </w:t>
      </w:r>
      <w:r w:rsidRPr="00471A97">
        <w:rPr>
          <w:rFonts w:ascii="Franklin Gothic Book" w:eastAsia="Times New Roman" w:hAnsi="Franklin Gothic Book" w:cs="Calibri"/>
          <w:sz w:val="24"/>
          <w:szCs w:val="24"/>
        </w:rPr>
        <w:t xml:space="preserve">be prorated </w:t>
      </w:r>
    </w:p>
    <w:p w14:paraId="6323A4A1" w14:textId="6DCAABA1" w:rsidR="00DF1C39" w:rsidRPr="00471A97" w:rsidRDefault="00F848CB" w:rsidP="00B50472">
      <w:pPr>
        <w:pStyle w:val="ListParagraph"/>
        <w:numPr>
          <w:ilvl w:val="0"/>
          <w:numId w:val="4"/>
        </w:numPr>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Computers/Laptop</w:t>
      </w:r>
      <w:r w:rsidR="00A0224B" w:rsidRPr="00471A97">
        <w:rPr>
          <w:rFonts w:ascii="Franklin Gothic Book" w:eastAsia="Times New Roman" w:hAnsi="Franklin Gothic Book" w:cs="Calibri"/>
          <w:sz w:val="24"/>
          <w:szCs w:val="24"/>
        </w:rPr>
        <w:t>s</w:t>
      </w:r>
      <w:r w:rsidRPr="00471A97">
        <w:rPr>
          <w:rFonts w:ascii="Franklin Gothic Book" w:eastAsia="Times New Roman" w:hAnsi="Franklin Gothic Book" w:cs="Calibri"/>
          <w:sz w:val="24"/>
          <w:szCs w:val="24"/>
        </w:rPr>
        <w:t xml:space="preserve"> – any computer purchases </w:t>
      </w:r>
      <w:r w:rsidR="00A0224B" w:rsidRPr="00471A97">
        <w:rPr>
          <w:rFonts w:ascii="Franklin Gothic Book" w:eastAsia="Times New Roman" w:hAnsi="Franklin Gothic Book" w:cs="Calibri"/>
          <w:sz w:val="24"/>
          <w:szCs w:val="24"/>
        </w:rPr>
        <w:t>requested</w:t>
      </w:r>
      <w:r w:rsidR="00072C26" w:rsidRPr="00471A97">
        <w:rPr>
          <w:rFonts w:ascii="Franklin Gothic Book" w:eastAsia="Times New Roman" w:hAnsi="Franklin Gothic Book" w:cs="Calibri"/>
          <w:sz w:val="24"/>
          <w:szCs w:val="24"/>
        </w:rPr>
        <w:t xml:space="preserve"> through a change request</w:t>
      </w:r>
      <w:r w:rsidRPr="00471A97">
        <w:rPr>
          <w:rFonts w:ascii="Franklin Gothic Book" w:eastAsia="Times New Roman" w:hAnsi="Franklin Gothic Book" w:cs="Calibri"/>
          <w:sz w:val="24"/>
          <w:szCs w:val="24"/>
        </w:rPr>
        <w:t xml:space="preserve"> within the last 12-months of a project period will be prorated</w:t>
      </w:r>
    </w:p>
    <w:p w14:paraId="6BFD8814" w14:textId="77777777" w:rsidR="00EA7623" w:rsidRPr="00471A97" w:rsidRDefault="00EA7623" w:rsidP="00F848CB">
      <w:pPr>
        <w:spacing w:after="0" w:line="240" w:lineRule="auto"/>
        <w:jc w:val="right"/>
        <w:rPr>
          <w:rFonts w:ascii="Franklin Gothic Book" w:eastAsia="Times New Roman" w:hAnsi="Franklin Gothic Book" w:cs="Calibri"/>
          <w:sz w:val="24"/>
          <w:szCs w:val="24"/>
        </w:rPr>
      </w:pPr>
    </w:p>
    <w:p w14:paraId="3E6CF06D" w14:textId="77777777" w:rsidR="009825C1" w:rsidRPr="00471A97" w:rsidRDefault="009825C1" w:rsidP="008C28E9">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bl>
      <w:tblPr>
        <w:tblpPr w:leftFromText="180" w:rightFromText="180" w:vertAnchor="text" w:tblpXSpec="right" w:tblpY="1"/>
        <w:tblOverlap w:val="never"/>
        <w:tblW w:w="9512" w:type="dxa"/>
        <w:tblLook w:val="04A0" w:firstRow="1" w:lastRow="0" w:firstColumn="1" w:lastColumn="0" w:noHBand="0" w:noVBand="1"/>
      </w:tblPr>
      <w:tblGrid>
        <w:gridCol w:w="2565"/>
        <w:gridCol w:w="3707"/>
        <w:gridCol w:w="3240"/>
      </w:tblGrid>
      <w:tr w:rsidR="00746AE2" w:rsidRPr="00D37506" w14:paraId="47F2B47E" w14:textId="4CBF06D1" w:rsidTr="00471A97">
        <w:trPr>
          <w:trHeight w:val="315"/>
          <w:tblHeader/>
        </w:trPr>
        <w:tc>
          <w:tcPr>
            <w:tcW w:w="9512" w:type="dxa"/>
            <w:gridSpan w:val="3"/>
            <w:tcBorders>
              <w:top w:val="single" w:sz="8" w:space="0" w:color="auto"/>
              <w:left w:val="single" w:sz="8" w:space="0" w:color="auto"/>
              <w:bottom w:val="single" w:sz="8" w:space="0" w:color="auto"/>
              <w:right w:val="single" w:sz="8" w:space="0" w:color="auto"/>
            </w:tcBorders>
            <w:shd w:val="clear" w:color="auto" w:fill="326295"/>
            <w:vAlign w:val="center"/>
          </w:tcPr>
          <w:p w14:paraId="57754E3A" w14:textId="4228DBED" w:rsidR="00746AE2" w:rsidRPr="00617B5B" w:rsidRDefault="00746AE2">
            <w:pPr>
              <w:widowControl w:val="0"/>
              <w:tabs>
                <w:tab w:val="left" w:pos="-1440"/>
              </w:tabs>
              <w:autoSpaceDE w:val="0"/>
              <w:autoSpaceDN w:val="0"/>
              <w:adjustRightInd w:val="0"/>
              <w:spacing w:after="0" w:line="240" w:lineRule="auto"/>
              <w:jc w:val="center"/>
              <w:rPr>
                <w:rFonts w:ascii="Franklin Gothic Book" w:eastAsia="Times New Roman" w:hAnsi="Franklin Gothic Book" w:cs="Calibri"/>
                <w:b/>
                <w:bCs/>
                <w:color w:val="FFFFFF" w:themeColor="background1"/>
                <w:sz w:val="24"/>
                <w:szCs w:val="24"/>
                <w:u w:val="single"/>
              </w:rPr>
            </w:pPr>
            <w:r w:rsidRPr="00617B5B">
              <w:rPr>
                <w:rFonts w:ascii="Franklin Gothic Book" w:eastAsia="Times New Roman" w:hAnsi="Franklin Gothic Book" w:cs="Calibri"/>
                <w:b/>
                <w:bCs/>
                <w:color w:val="FFFFFF" w:themeColor="background1"/>
                <w:sz w:val="24"/>
                <w:szCs w:val="24"/>
                <w:u w:val="single"/>
              </w:rPr>
              <w:t>ALLOWABLE COSTS</w:t>
            </w:r>
          </w:p>
        </w:tc>
      </w:tr>
      <w:tr w:rsidR="0066691C" w:rsidRPr="00D37506" w14:paraId="13831F59" w14:textId="77777777" w:rsidTr="00471A97">
        <w:trPr>
          <w:trHeight w:val="315"/>
          <w:tblHeader/>
        </w:trPr>
        <w:tc>
          <w:tcPr>
            <w:tcW w:w="2565" w:type="dxa"/>
            <w:tcBorders>
              <w:top w:val="single" w:sz="8" w:space="0" w:color="auto"/>
              <w:left w:val="single" w:sz="8" w:space="0" w:color="auto"/>
              <w:bottom w:val="single" w:sz="8" w:space="0" w:color="auto"/>
              <w:right w:val="single" w:sz="8" w:space="0" w:color="auto"/>
            </w:tcBorders>
            <w:shd w:val="clear" w:color="auto" w:fill="326295"/>
            <w:vAlign w:val="center"/>
            <w:hideMark/>
          </w:tcPr>
          <w:p w14:paraId="606436FD" w14:textId="77777777" w:rsidR="0066691C" w:rsidRPr="00471A97"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b/>
                <w:bCs/>
                <w:color w:val="FFFFFF" w:themeColor="background1"/>
                <w:sz w:val="24"/>
                <w:szCs w:val="24"/>
              </w:rPr>
            </w:pPr>
            <w:r w:rsidRPr="00471A97">
              <w:rPr>
                <w:rFonts w:ascii="Franklin Gothic Book" w:eastAsia="Times New Roman" w:hAnsi="Franklin Gothic Book" w:cs="Calibri"/>
                <w:b/>
                <w:bCs/>
                <w:color w:val="FFFFFF" w:themeColor="background1"/>
                <w:sz w:val="24"/>
                <w:szCs w:val="24"/>
              </w:rPr>
              <w:t>Cost</w:t>
            </w:r>
          </w:p>
        </w:tc>
        <w:tc>
          <w:tcPr>
            <w:tcW w:w="3707" w:type="dxa"/>
            <w:tcBorders>
              <w:top w:val="single" w:sz="8" w:space="0" w:color="auto"/>
              <w:left w:val="nil"/>
              <w:bottom w:val="single" w:sz="8" w:space="0" w:color="auto"/>
              <w:right w:val="single" w:sz="8" w:space="0" w:color="auto"/>
            </w:tcBorders>
            <w:shd w:val="clear" w:color="auto" w:fill="326295"/>
            <w:vAlign w:val="center"/>
            <w:hideMark/>
          </w:tcPr>
          <w:p w14:paraId="7F9E706E" w14:textId="77777777" w:rsidR="0066691C" w:rsidRPr="00471A97"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b/>
                <w:bCs/>
                <w:color w:val="FFFFFF" w:themeColor="background1"/>
                <w:sz w:val="24"/>
                <w:szCs w:val="24"/>
              </w:rPr>
            </w:pPr>
            <w:r w:rsidRPr="00471A97">
              <w:rPr>
                <w:rFonts w:ascii="Franklin Gothic Book" w:eastAsia="Times New Roman" w:hAnsi="Franklin Gothic Book" w:cs="Calibri"/>
                <w:b/>
                <w:bCs/>
                <w:color w:val="FFFFFF" w:themeColor="background1"/>
                <w:sz w:val="24"/>
                <w:szCs w:val="24"/>
              </w:rPr>
              <w:t>Description</w:t>
            </w:r>
          </w:p>
        </w:tc>
        <w:tc>
          <w:tcPr>
            <w:tcW w:w="3240" w:type="dxa"/>
            <w:tcBorders>
              <w:top w:val="single" w:sz="8" w:space="0" w:color="auto"/>
              <w:left w:val="nil"/>
              <w:bottom w:val="single" w:sz="8" w:space="0" w:color="auto"/>
              <w:right w:val="single" w:sz="8" w:space="0" w:color="auto"/>
            </w:tcBorders>
            <w:shd w:val="clear" w:color="auto" w:fill="326295"/>
          </w:tcPr>
          <w:p w14:paraId="7C4C3B12" w14:textId="77777777" w:rsidR="0066691C" w:rsidRPr="00471A97"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b/>
                <w:bCs/>
                <w:color w:val="FFFFFF" w:themeColor="background1"/>
                <w:sz w:val="24"/>
                <w:szCs w:val="24"/>
              </w:rPr>
            </w:pPr>
            <w:r w:rsidRPr="00471A97">
              <w:rPr>
                <w:rFonts w:ascii="Franklin Gothic Book" w:eastAsia="Times New Roman" w:hAnsi="Franklin Gothic Book" w:cs="Calibri"/>
                <w:b/>
                <w:bCs/>
                <w:color w:val="FFFFFF" w:themeColor="background1"/>
                <w:sz w:val="24"/>
                <w:szCs w:val="24"/>
              </w:rPr>
              <w:t>Examples / Clarification</w:t>
            </w:r>
          </w:p>
        </w:tc>
      </w:tr>
      <w:tr w:rsidR="0066691C" w:rsidRPr="00D37506" w14:paraId="66E7B135" w14:textId="77777777" w:rsidTr="00FC6466">
        <w:trPr>
          <w:trHeight w:val="1365"/>
        </w:trPr>
        <w:tc>
          <w:tcPr>
            <w:tcW w:w="2565" w:type="dxa"/>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14:paraId="28564BE9" w14:textId="77777777" w:rsidR="0066691C" w:rsidRPr="00471A97"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471A97">
              <w:rPr>
                <w:rFonts w:ascii="Franklin Gothic Book" w:eastAsia="Times New Roman" w:hAnsi="Franklin Gothic Book" w:cs="Calibri"/>
                <w:b/>
                <w:bCs/>
                <w:sz w:val="24"/>
                <w:szCs w:val="24"/>
              </w:rPr>
              <w:t>Advertising</w:t>
            </w:r>
          </w:p>
        </w:tc>
        <w:tc>
          <w:tcPr>
            <w:tcW w:w="3707" w:type="dxa"/>
            <w:tcBorders>
              <w:top w:val="single" w:sz="8" w:space="0" w:color="auto"/>
              <w:left w:val="nil"/>
              <w:bottom w:val="single" w:sz="4" w:space="0" w:color="auto"/>
              <w:right w:val="single" w:sz="8" w:space="0" w:color="auto"/>
            </w:tcBorders>
            <w:shd w:val="clear" w:color="auto" w:fill="FFFFFF" w:themeFill="background1"/>
            <w:vAlign w:val="center"/>
            <w:hideMark/>
          </w:tcPr>
          <w:p w14:paraId="4265DEEB" w14:textId="06DC5670" w:rsidR="0066691C" w:rsidRPr="00471A97"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 xml:space="preserve">Advertising for </w:t>
            </w:r>
            <w:r w:rsidR="00D40D51" w:rsidRPr="00471A97">
              <w:rPr>
                <w:rFonts w:ascii="Franklin Gothic Book" w:eastAsia="Times New Roman" w:hAnsi="Franklin Gothic Book" w:cs="Calibri"/>
                <w:sz w:val="24"/>
                <w:szCs w:val="24"/>
              </w:rPr>
              <w:t xml:space="preserve">vacant </w:t>
            </w:r>
            <w:r w:rsidR="004E6ED9" w:rsidRPr="00471A97">
              <w:rPr>
                <w:rFonts w:ascii="Franklin Gothic Book" w:eastAsia="Times New Roman" w:hAnsi="Franklin Gothic Book" w:cs="Calibri"/>
                <w:sz w:val="24"/>
                <w:szCs w:val="24"/>
              </w:rPr>
              <w:t xml:space="preserve">project-related </w:t>
            </w:r>
            <w:r w:rsidRPr="00471A97">
              <w:rPr>
                <w:rFonts w:ascii="Franklin Gothic Book" w:eastAsia="Times New Roman" w:hAnsi="Franklin Gothic Book" w:cs="Calibri"/>
                <w:sz w:val="24"/>
                <w:szCs w:val="24"/>
              </w:rPr>
              <w:t xml:space="preserve">personnel </w:t>
            </w:r>
            <w:r w:rsidR="00D40D51" w:rsidRPr="00471A97">
              <w:rPr>
                <w:rFonts w:ascii="Franklin Gothic Book" w:eastAsia="Times New Roman" w:hAnsi="Franklin Gothic Book" w:cs="Calibri"/>
                <w:sz w:val="24"/>
                <w:szCs w:val="24"/>
              </w:rPr>
              <w:t>positions</w:t>
            </w:r>
            <w:r w:rsidRPr="00471A97">
              <w:rPr>
                <w:rFonts w:ascii="Franklin Gothic Book" w:eastAsia="Times New Roman" w:hAnsi="Franklin Gothic Book" w:cs="Calibri"/>
                <w:sz w:val="24"/>
                <w:szCs w:val="24"/>
              </w:rPr>
              <w:t xml:space="preserve">, research subjects or publicity of events or meetings </w:t>
            </w:r>
          </w:p>
          <w:p w14:paraId="19792732" w14:textId="77777777" w:rsidR="00754320" w:rsidRPr="00471A97" w:rsidRDefault="00754320">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11AAF46D" w14:textId="1DB3A4F8" w:rsidR="00754320" w:rsidRPr="00471A97" w:rsidRDefault="00754320">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 xml:space="preserve">Tangible branded promotional materials </w:t>
            </w:r>
            <w:r w:rsidR="004E6ED9" w:rsidRPr="00471A97">
              <w:rPr>
                <w:rFonts w:ascii="Franklin Gothic Book" w:eastAsia="Times New Roman" w:hAnsi="Franklin Gothic Book" w:cs="Calibri"/>
                <w:sz w:val="24"/>
                <w:szCs w:val="24"/>
              </w:rPr>
              <w:t>specifically related to the project</w:t>
            </w:r>
          </w:p>
        </w:tc>
        <w:tc>
          <w:tcPr>
            <w:tcW w:w="3240" w:type="dxa"/>
            <w:tcBorders>
              <w:top w:val="single" w:sz="8" w:space="0" w:color="auto"/>
              <w:left w:val="nil"/>
              <w:bottom w:val="single" w:sz="4" w:space="0" w:color="auto"/>
              <w:right w:val="single" w:sz="8" w:space="0" w:color="auto"/>
            </w:tcBorders>
            <w:shd w:val="clear" w:color="auto" w:fill="FFFFFF" w:themeFill="background1"/>
          </w:tcPr>
          <w:p w14:paraId="666FB7B6" w14:textId="5605C475" w:rsidR="0066691C" w:rsidRPr="00471A97" w:rsidRDefault="00AF20A0">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Exclud</w:t>
            </w:r>
            <w:r w:rsidR="00D40D51" w:rsidRPr="00471A97">
              <w:rPr>
                <w:rFonts w:ascii="Franklin Gothic Book" w:eastAsia="Times New Roman" w:hAnsi="Franklin Gothic Book" w:cs="Calibri"/>
                <w:sz w:val="24"/>
                <w:szCs w:val="24"/>
              </w:rPr>
              <w:t>es</w:t>
            </w:r>
            <w:r w:rsidRPr="00471A97">
              <w:rPr>
                <w:rFonts w:ascii="Franklin Gothic Book" w:eastAsia="Times New Roman" w:hAnsi="Franklin Gothic Book" w:cs="Calibri"/>
                <w:sz w:val="24"/>
                <w:szCs w:val="24"/>
              </w:rPr>
              <w:t xml:space="preserve"> </w:t>
            </w:r>
            <w:r w:rsidR="000A4B2F" w:rsidRPr="00471A97">
              <w:rPr>
                <w:rFonts w:ascii="Franklin Gothic Book" w:eastAsia="Times New Roman" w:hAnsi="Franklin Gothic Book" w:cs="Calibri"/>
                <w:sz w:val="24"/>
                <w:szCs w:val="24"/>
              </w:rPr>
              <w:t>f</w:t>
            </w:r>
            <w:r w:rsidRPr="00471A97">
              <w:rPr>
                <w:rFonts w:ascii="Franklin Gothic Book" w:eastAsia="Times New Roman" w:hAnsi="Franklin Gothic Book" w:cs="Calibri"/>
                <w:sz w:val="24"/>
                <w:szCs w:val="24"/>
              </w:rPr>
              <w:t xml:space="preserve">aculty </w:t>
            </w:r>
            <w:r w:rsidR="000A4B2F" w:rsidRPr="00471A97">
              <w:rPr>
                <w:rFonts w:ascii="Franklin Gothic Book" w:eastAsia="Times New Roman" w:hAnsi="Franklin Gothic Book" w:cs="Calibri"/>
                <w:sz w:val="24"/>
                <w:szCs w:val="24"/>
              </w:rPr>
              <w:t>r</w:t>
            </w:r>
            <w:r w:rsidRPr="00471A97">
              <w:rPr>
                <w:rFonts w:ascii="Franklin Gothic Book" w:eastAsia="Times New Roman" w:hAnsi="Franklin Gothic Book" w:cs="Calibri"/>
                <w:sz w:val="24"/>
                <w:szCs w:val="24"/>
              </w:rPr>
              <w:t>ecruitment</w:t>
            </w:r>
          </w:p>
        </w:tc>
      </w:tr>
      <w:tr w:rsidR="0066691C" w:rsidRPr="00D37506" w14:paraId="547C4062" w14:textId="77777777" w:rsidTr="00FC6466">
        <w:trPr>
          <w:trHeight w:val="1365"/>
        </w:trPr>
        <w:tc>
          <w:tcPr>
            <w:tcW w:w="2565"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61863444" w14:textId="49E984CD" w:rsidR="0066691C" w:rsidRPr="00471A97"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471A97">
              <w:rPr>
                <w:rFonts w:ascii="Franklin Gothic Book" w:eastAsia="Times New Roman" w:hAnsi="Franklin Gothic Book" w:cs="Calibri"/>
                <w:b/>
                <w:bCs/>
                <w:sz w:val="24"/>
                <w:szCs w:val="24"/>
              </w:rPr>
              <w:t>Books, Journals</w:t>
            </w:r>
            <w:r w:rsidR="00AF20A0" w:rsidRPr="00471A97">
              <w:rPr>
                <w:rFonts w:ascii="Franklin Gothic Book" w:eastAsia="Times New Roman" w:hAnsi="Franklin Gothic Book" w:cs="Calibri"/>
                <w:b/>
                <w:bCs/>
                <w:sz w:val="24"/>
                <w:szCs w:val="24"/>
              </w:rPr>
              <w:t>, Licenses</w:t>
            </w:r>
            <w:r w:rsidRPr="00471A97">
              <w:rPr>
                <w:rFonts w:ascii="Franklin Gothic Book" w:eastAsia="Times New Roman" w:hAnsi="Franklin Gothic Book" w:cs="Calibri"/>
                <w:b/>
                <w:bCs/>
                <w:sz w:val="24"/>
                <w:szCs w:val="24"/>
              </w:rPr>
              <w:t xml:space="preserve"> and Subscriptions</w:t>
            </w:r>
          </w:p>
        </w:tc>
        <w:tc>
          <w:tcPr>
            <w:tcW w:w="3707" w:type="dxa"/>
            <w:tcBorders>
              <w:top w:val="nil"/>
              <w:left w:val="nil"/>
              <w:bottom w:val="single" w:sz="4" w:space="0" w:color="auto"/>
              <w:right w:val="single" w:sz="8" w:space="0" w:color="auto"/>
            </w:tcBorders>
            <w:shd w:val="clear" w:color="auto" w:fill="D9D9D9" w:themeFill="background1" w:themeFillShade="D9"/>
            <w:vAlign w:val="center"/>
          </w:tcPr>
          <w:p w14:paraId="748FF1C3" w14:textId="692FAC1D" w:rsidR="0066691C" w:rsidRPr="00471A97"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Books, journals</w:t>
            </w:r>
            <w:r w:rsidR="000A4B2F" w:rsidRPr="00471A97">
              <w:rPr>
                <w:rFonts w:ascii="Franklin Gothic Book" w:eastAsia="Times New Roman" w:hAnsi="Franklin Gothic Book" w:cs="Calibri"/>
                <w:sz w:val="24"/>
                <w:szCs w:val="24"/>
              </w:rPr>
              <w:t>, licenses</w:t>
            </w:r>
            <w:r w:rsidRPr="00471A97">
              <w:rPr>
                <w:rFonts w:ascii="Franklin Gothic Book" w:eastAsia="Times New Roman" w:hAnsi="Franklin Gothic Book" w:cs="Calibri"/>
                <w:sz w:val="24"/>
                <w:szCs w:val="24"/>
              </w:rPr>
              <w:t xml:space="preserve"> and subscriptions to professional or technical publications</w:t>
            </w:r>
            <w:r w:rsidR="004E6ED9" w:rsidRPr="00471A97">
              <w:rPr>
                <w:rFonts w:ascii="Franklin Gothic Book" w:eastAsia="Times New Roman" w:hAnsi="Franklin Gothic Book" w:cs="Calibri"/>
                <w:sz w:val="24"/>
                <w:szCs w:val="24"/>
              </w:rPr>
              <w:t xml:space="preserve"> specifically related to the project</w:t>
            </w:r>
            <w:r w:rsidRPr="00471A97">
              <w:rPr>
                <w:rFonts w:ascii="Franklin Gothic Book" w:eastAsia="Times New Roman" w:hAnsi="Franklin Gothic Book" w:cs="Calibri"/>
                <w:sz w:val="24"/>
                <w:szCs w:val="24"/>
              </w:rPr>
              <w:t xml:space="preserve"> </w:t>
            </w:r>
          </w:p>
        </w:tc>
        <w:tc>
          <w:tcPr>
            <w:tcW w:w="3240" w:type="dxa"/>
            <w:tcBorders>
              <w:top w:val="nil"/>
              <w:left w:val="nil"/>
              <w:bottom w:val="single" w:sz="4" w:space="0" w:color="auto"/>
              <w:right w:val="single" w:sz="8" w:space="0" w:color="auto"/>
            </w:tcBorders>
            <w:shd w:val="clear" w:color="auto" w:fill="D9D9D9" w:themeFill="background1" w:themeFillShade="D9"/>
          </w:tcPr>
          <w:p w14:paraId="542E4915" w14:textId="77777777" w:rsidR="0066691C" w:rsidRDefault="00A51ADF">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 xml:space="preserve">Unallowable </w:t>
            </w:r>
            <w:r w:rsidR="0066691C" w:rsidRPr="00471A97">
              <w:rPr>
                <w:rFonts w:ascii="Franklin Gothic Book" w:eastAsia="Times New Roman" w:hAnsi="Franklin Gothic Book" w:cs="Calibri"/>
                <w:sz w:val="24"/>
                <w:szCs w:val="24"/>
              </w:rPr>
              <w:t>if benefits education or research in general or the faculty/community member in general</w:t>
            </w:r>
          </w:p>
          <w:p w14:paraId="6399015A" w14:textId="77777777" w:rsidR="00B17AD3" w:rsidRDefault="00B17AD3">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513AB69B" w14:textId="16C8AEB6" w:rsidR="00B17AD3" w:rsidRPr="00471A97" w:rsidRDefault="00B17AD3">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17AD3">
              <w:rPr>
                <w:rFonts w:ascii="Franklin Gothic Book" w:eastAsia="Times New Roman" w:hAnsi="Franklin Gothic Book" w:cs="Calibri"/>
                <w:sz w:val="24"/>
                <w:szCs w:val="24"/>
              </w:rPr>
              <w:t>*See prorating policy on page 2 of this document</w:t>
            </w:r>
          </w:p>
        </w:tc>
      </w:tr>
      <w:tr w:rsidR="0066691C" w:rsidRPr="00D37506" w14:paraId="650661D4" w14:textId="77777777" w:rsidTr="00FC6466">
        <w:trPr>
          <w:trHeight w:val="1365"/>
        </w:trPr>
        <w:tc>
          <w:tcPr>
            <w:tcW w:w="2565" w:type="dxa"/>
            <w:tcBorders>
              <w:top w:val="nil"/>
              <w:left w:val="single" w:sz="8" w:space="0" w:color="auto"/>
              <w:bottom w:val="single" w:sz="4" w:space="0" w:color="auto"/>
              <w:right w:val="single" w:sz="8" w:space="0" w:color="auto"/>
            </w:tcBorders>
            <w:shd w:val="clear" w:color="auto" w:fill="FFFFFF" w:themeFill="background1"/>
            <w:vAlign w:val="center"/>
          </w:tcPr>
          <w:p w14:paraId="3DBED4E8" w14:textId="6A74F41A" w:rsidR="0066691C" w:rsidRPr="00471A97"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471A97">
              <w:rPr>
                <w:rFonts w:ascii="Franklin Gothic Book" w:eastAsia="Times New Roman" w:hAnsi="Franklin Gothic Book" w:cs="Calibri"/>
                <w:b/>
                <w:bCs/>
                <w:sz w:val="24"/>
                <w:szCs w:val="24"/>
              </w:rPr>
              <w:t>Consult</w:t>
            </w:r>
            <w:r w:rsidR="000478B4" w:rsidRPr="00471A97">
              <w:rPr>
                <w:rFonts w:ascii="Franklin Gothic Book" w:eastAsia="Times New Roman" w:hAnsi="Franklin Gothic Book" w:cs="Calibri"/>
                <w:b/>
                <w:bCs/>
                <w:sz w:val="24"/>
                <w:szCs w:val="24"/>
              </w:rPr>
              <w:t>ing and Professional Services</w:t>
            </w:r>
          </w:p>
        </w:tc>
        <w:tc>
          <w:tcPr>
            <w:tcW w:w="3707" w:type="dxa"/>
            <w:tcBorders>
              <w:top w:val="nil"/>
              <w:left w:val="nil"/>
              <w:bottom w:val="single" w:sz="4" w:space="0" w:color="auto"/>
              <w:right w:val="single" w:sz="8" w:space="0" w:color="auto"/>
            </w:tcBorders>
            <w:shd w:val="clear" w:color="auto" w:fill="FFFFFF" w:themeFill="background1"/>
            <w:vAlign w:val="center"/>
          </w:tcPr>
          <w:p w14:paraId="5CFA91EF" w14:textId="09EFB5BD" w:rsidR="0066691C" w:rsidRPr="00471A97"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Individual/organization</w:t>
            </w:r>
            <w:r w:rsidR="00665BF8" w:rsidRPr="00471A97">
              <w:rPr>
                <w:rFonts w:ascii="Franklin Gothic Book" w:eastAsia="Times New Roman" w:hAnsi="Franklin Gothic Book" w:cs="Calibri"/>
                <w:sz w:val="24"/>
                <w:szCs w:val="24"/>
              </w:rPr>
              <w:t xml:space="preserve"> not employed by </w:t>
            </w:r>
            <w:r w:rsidR="000C46B1" w:rsidRPr="00471A97">
              <w:rPr>
                <w:rFonts w:ascii="Franklin Gothic Book" w:eastAsia="Times New Roman" w:hAnsi="Franklin Gothic Book" w:cs="Calibri"/>
                <w:sz w:val="24"/>
                <w:szCs w:val="24"/>
              </w:rPr>
              <w:t>an applicant organization</w:t>
            </w:r>
            <w:r w:rsidRPr="00471A97">
              <w:rPr>
                <w:rFonts w:ascii="Franklin Gothic Book" w:eastAsia="Times New Roman" w:hAnsi="Franklin Gothic Book" w:cs="Calibri"/>
                <w:sz w:val="24"/>
                <w:szCs w:val="24"/>
              </w:rPr>
              <w:t xml:space="preserve"> hired to perform professional, short-term services </w:t>
            </w:r>
            <w:r w:rsidR="004E6ED9" w:rsidRPr="00471A97">
              <w:rPr>
                <w:rFonts w:ascii="Franklin Gothic Book" w:eastAsia="Times New Roman" w:hAnsi="Franklin Gothic Book" w:cs="Calibri"/>
                <w:sz w:val="24"/>
                <w:szCs w:val="24"/>
              </w:rPr>
              <w:t>specifically related to the project</w:t>
            </w:r>
          </w:p>
        </w:tc>
        <w:tc>
          <w:tcPr>
            <w:tcW w:w="3240" w:type="dxa"/>
            <w:tcBorders>
              <w:top w:val="nil"/>
              <w:left w:val="nil"/>
              <w:bottom w:val="single" w:sz="4" w:space="0" w:color="auto"/>
              <w:right w:val="single" w:sz="8" w:space="0" w:color="auto"/>
            </w:tcBorders>
            <w:shd w:val="clear" w:color="auto" w:fill="FFFFFF" w:themeFill="background1"/>
          </w:tcPr>
          <w:p w14:paraId="03B32202" w14:textId="581A12C4" w:rsidR="006B43B8" w:rsidRPr="00471A97" w:rsidRDefault="006B43B8">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 xml:space="preserve">Unallowable if general costs, such as corporate legal or accounting services, which </w:t>
            </w:r>
            <w:proofErr w:type="gramStart"/>
            <w:r w:rsidRPr="00471A97">
              <w:rPr>
                <w:rFonts w:ascii="Franklin Gothic Book" w:eastAsia="Times New Roman" w:hAnsi="Franklin Gothic Book" w:cs="Calibri"/>
                <w:sz w:val="24"/>
                <w:szCs w:val="24"/>
              </w:rPr>
              <w:t>are considered to be</w:t>
            </w:r>
            <w:proofErr w:type="gramEnd"/>
            <w:r w:rsidRPr="00471A97">
              <w:rPr>
                <w:rFonts w:ascii="Franklin Gothic Book" w:eastAsia="Times New Roman" w:hAnsi="Franklin Gothic Book" w:cs="Calibri"/>
                <w:sz w:val="24"/>
                <w:szCs w:val="24"/>
              </w:rPr>
              <w:t xml:space="preserve"> indirect costs and are </w:t>
            </w:r>
            <w:r w:rsidR="008757FD" w:rsidRPr="00471A97">
              <w:rPr>
                <w:rFonts w:ascii="Franklin Gothic Book" w:eastAsia="Times New Roman" w:hAnsi="Franklin Gothic Book" w:cs="Calibri"/>
                <w:sz w:val="24"/>
                <w:szCs w:val="24"/>
              </w:rPr>
              <w:t>un</w:t>
            </w:r>
            <w:r w:rsidRPr="00471A97">
              <w:rPr>
                <w:rFonts w:ascii="Franklin Gothic Book" w:eastAsia="Times New Roman" w:hAnsi="Franklin Gothic Book" w:cs="Calibri"/>
                <w:sz w:val="24"/>
                <w:szCs w:val="24"/>
              </w:rPr>
              <w:t>allowable.</w:t>
            </w:r>
          </w:p>
          <w:p w14:paraId="012AD96D" w14:textId="77777777" w:rsidR="006B43B8" w:rsidRPr="00471A97" w:rsidRDefault="006B43B8">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13BD6CDF" w14:textId="05C22286" w:rsidR="0066691C" w:rsidRPr="00471A97"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471A97">
              <w:rPr>
                <w:rFonts w:ascii="Franklin Gothic Book" w:eastAsia="Times New Roman" w:hAnsi="Franklin Gothic Book" w:cs="Calibri"/>
                <w:sz w:val="24"/>
                <w:szCs w:val="24"/>
              </w:rPr>
              <w:t>MCW PIs must follow MCW Corporate policies governing the use and payment of consultants</w:t>
            </w:r>
            <w:r w:rsidR="000478B4" w:rsidRPr="00471A97">
              <w:rPr>
                <w:rFonts w:ascii="Franklin Gothic Book" w:eastAsia="Times New Roman" w:hAnsi="Franklin Gothic Book" w:cs="Calibri"/>
                <w:sz w:val="24"/>
                <w:szCs w:val="24"/>
              </w:rPr>
              <w:t>/professional services</w:t>
            </w:r>
          </w:p>
        </w:tc>
      </w:tr>
      <w:tr w:rsidR="00AB0872" w:rsidRPr="00D37506" w14:paraId="453641BA" w14:textId="77777777" w:rsidTr="00290C88">
        <w:trPr>
          <w:trHeight w:val="1365"/>
        </w:trPr>
        <w:tc>
          <w:tcPr>
            <w:tcW w:w="2565" w:type="dxa"/>
            <w:tcBorders>
              <w:top w:val="nil"/>
              <w:left w:val="single" w:sz="8" w:space="0" w:color="auto"/>
              <w:bottom w:val="single" w:sz="4" w:space="0" w:color="auto"/>
              <w:right w:val="single" w:sz="8" w:space="0" w:color="auto"/>
            </w:tcBorders>
            <w:shd w:val="clear" w:color="auto" w:fill="FFFFFF" w:themeFill="background1"/>
            <w:vAlign w:val="center"/>
          </w:tcPr>
          <w:p w14:paraId="20C6BAF0" w14:textId="642AEAEF"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lastRenderedPageBreak/>
              <w:t>Equipment</w:t>
            </w:r>
          </w:p>
        </w:tc>
        <w:tc>
          <w:tcPr>
            <w:tcW w:w="3707" w:type="dxa"/>
            <w:tcBorders>
              <w:top w:val="nil"/>
              <w:left w:val="nil"/>
              <w:bottom w:val="single" w:sz="4" w:space="0" w:color="auto"/>
              <w:right w:val="single" w:sz="8" w:space="0" w:color="auto"/>
            </w:tcBorders>
            <w:shd w:val="clear" w:color="auto" w:fill="FFFFFF" w:themeFill="background1"/>
            <w:vAlign w:val="center"/>
          </w:tcPr>
          <w:p w14:paraId="5D83B893" w14:textId="77777777" w:rsidR="00AB0872"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Special purpose </w:t>
            </w:r>
            <w:r>
              <w:rPr>
                <w:rFonts w:ascii="Franklin Gothic Book" w:eastAsia="Times New Roman" w:hAnsi="Franklin Gothic Book" w:cs="Calibri"/>
                <w:sz w:val="24"/>
                <w:szCs w:val="24"/>
              </w:rPr>
              <w:t xml:space="preserve">items </w:t>
            </w:r>
            <w:r w:rsidRPr="003577BE">
              <w:rPr>
                <w:rFonts w:ascii="Franklin Gothic Book" w:eastAsia="Times New Roman" w:hAnsi="Franklin Gothic Book" w:cs="Calibri"/>
                <w:sz w:val="24"/>
                <w:szCs w:val="24"/>
              </w:rPr>
              <w:t xml:space="preserve">with a useful life of more than </w:t>
            </w:r>
            <w:r>
              <w:rPr>
                <w:rFonts w:ascii="Franklin Gothic Book" w:eastAsia="Times New Roman" w:hAnsi="Franklin Gothic Book" w:cs="Calibri"/>
                <w:sz w:val="24"/>
                <w:szCs w:val="24"/>
              </w:rPr>
              <w:t>one</w:t>
            </w:r>
            <w:r w:rsidRPr="00B73A48">
              <w:rPr>
                <w:rFonts w:ascii="Franklin Gothic Book" w:eastAsia="Times New Roman" w:hAnsi="Franklin Gothic Book" w:cs="Calibri"/>
                <w:sz w:val="24"/>
                <w:szCs w:val="24"/>
              </w:rPr>
              <w:t xml:space="preserve"> year and a cost greater than $5,000 used only for project-related technical activities</w:t>
            </w:r>
          </w:p>
          <w:p w14:paraId="02FE55C5" w14:textId="23C57CFD"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c>
          <w:tcPr>
            <w:tcW w:w="3240" w:type="dxa"/>
            <w:tcBorders>
              <w:top w:val="nil"/>
              <w:left w:val="nil"/>
              <w:bottom w:val="single" w:sz="4" w:space="0" w:color="auto"/>
              <w:right w:val="single" w:sz="8" w:space="0" w:color="auto"/>
            </w:tcBorders>
            <w:shd w:val="clear" w:color="auto" w:fill="FFFFFF" w:themeFill="background1"/>
          </w:tcPr>
          <w:p w14:paraId="214CD2DE" w14:textId="77777777"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Unallowable if general purpose equipment such as office equipment and furnishings not limited to research or technical use</w:t>
            </w:r>
          </w:p>
          <w:p w14:paraId="1B4264F8" w14:textId="77777777"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722D0C1A" w14:textId="5D283B29"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*See prorating policy on page 2 of this document</w:t>
            </w:r>
          </w:p>
        </w:tc>
      </w:tr>
      <w:tr w:rsidR="00AB0872" w:rsidRPr="00D37506" w14:paraId="08EA88DF" w14:textId="77777777" w:rsidTr="00290C88">
        <w:trPr>
          <w:trHeight w:val="1365"/>
        </w:trPr>
        <w:tc>
          <w:tcPr>
            <w:tcW w:w="2565"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079646D9" w14:textId="6B726F28"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highlight w:val="yellow"/>
              </w:rPr>
            </w:pPr>
            <w:r w:rsidRPr="00B73A48">
              <w:rPr>
                <w:rFonts w:ascii="Franklin Gothic Book" w:eastAsia="Times New Roman" w:hAnsi="Franklin Gothic Book" w:cs="Calibri"/>
                <w:b/>
                <w:bCs/>
                <w:sz w:val="24"/>
                <w:szCs w:val="24"/>
              </w:rPr>
              <w:t>Honoraria</w:t>
            </w:r>
          </w:p>
        </w:tc>
        <w:tc>
          <w:tcPr>
            <w:tcW w:w="3707" w:type="dxa"/>
            <w:tcBorders>
              <w:top w:val="nil"/>
              <w:left w:val="nil"/>
              <w:bottom w:val="single" w:sz="4" w:space="0" w:color="auto"/>
              <w:right w:val="single" w:sz="8" w:space="0" w:color="auto"/>
            </w:tcBorders>
            <w:shd w:val="clear" w:color="auto" w:fill="D9D9D9" w:themeFill="background1" w:themeFillShade="D9"/>
            <w:vAlign w:val="center"/>
          </w:tcPr>
          <w:p w14:paraId="201F3484" w14:textId="77777777" w:rsidR="00AB0872"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Payment for services, such as speaker fees, associated with a project-related conference or symposium</w:t>
            </w:r>
          </w:p>
          <w:p w14:paraId="682E5D7B" w14:textId="77777777" w:rsidR="00AB0872"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highlight w:val="yellow"/>
              </w:rPr>
            </w:pPr>
          </w:p>
          <w:p w14:paraId="55C513FF" w14:textId="77777777"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Honorarium is a one-time or limited payment made to an individual who is not an employee of MCW </w:t>
            </w:r>
            <w:r>
              <w:rPr>
                <w:rFonts w:ascii="Franklin Gothic Book" w:eastAsia="Times New Roman" w:hAnsi="Franklin Gothic Book" w:cs="Calibri"/>
                <w:sz w:val="24"/>
                <w:szCs w:val="24"/>
              </w:rPr>
              <w:t xml:space="preserve">or the primary community partner </w:t>
            </w:r>
            <w:r w:rsidRPr="00B73A48">
              <w:rPr>
                <w:rFonts w:ascii="Franklin Gothic Book" w:eastAsia="Times New Roman" w:hAnsi="Franklin Gothic Book" w:cs="Calibri"/>
                <w:sz w:val="24"/>
                <w:szCs w:val="24"/>
              </w:rPr>
              <w:t>for a special and non-recurring activity or event for which a fee is not legally or traditionally required. The intent is to show appreciation for participation in an educational, research or community engagement activity or event.</w:t>
            </w:r>
          </w:p>
          <w:p w14:paraId="2B28A02A" w14:textId="049CEF16"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Examples where Honorariums may be appropriate include guest lectures or presenters, facilitators, external reviewers or ushers at events.</w:t>
            </w:r>
          </w:p>
        </w:tc>
        <w:tc>
          <w:tcPr>
            <w:tcW w:w="3240" w:type="dxa"/>
            <w:tcBorders>
              <w:top w:val="nil"/>
              <w:left w:val="nil"/>
              <w:bottom w:val="single" w:sz="4" w:space="0" w:color="auto"/>
              <w:right w:val="single" w:sz="8" w:space="0" w:color="auto"/>
            </w:tcBorders>
            <w:shd w:val="clear" w:color="auto" w:fill="D9D9D9" w:themeFill="background1" w:themeFillShade="D9"/>
          </w:tcPr>
          <w:p w14:paraId="138CE37B" w14:textId="77777777"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highlight w:val="yellow"/>
              </w:rPr>
            </w:pPr>
          </w:p>
          <w:p w14:paraId="1EFF99E9" w14:textId="77777777"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If the individuals are </w:t>
            </w:r>
            <w:r>
              <w:rPr>
                <w:rFonts w:ascii="Franklin Gothic Book" w:eastAsia="Times New Roman" w:hAnsi="Franklin Gothic Book" w:cs="Calibri"/>
                <w:sz w:val="24"/>
                <w:szCs w:val="24"/>
              </w:rPr>
              <w:t xml:space="preserve">employees of MCW or the </w:t>
            </w:r>
            <w:r w:rsidRPr="00B73A48">
              <w:rPr>
                <w:rFonts w:ascii="Franklin Gothic Book" w:eastAsia="Times New Roman" w:hAnsi="Franklin Gothic Book" w:cs="Calibri"/>
                <w:sz w:val="24"/>
                <w:szCs w:val="24"/>
              </w:rPr>
              <w:t>primary partner organization, any effort they provide on a project should be allocated under salaries and fringe. Honoraria would only be applicable for individuals outside of the organization.</w:t>
            </w:r>
          </w:p>
          <w:p w14:paraId="4EC04A46" w14:textId="77777777"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509540FA" w14:textId="41EE35F9"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Honorariums may not be used for a predetermined legally required fee</w:t>
            </w:r>
            <w:r>
              <w:rPr>
                <w:rFonts w:ascii="Franklin Gothic Book" w:eastAsia="Times New Roman" w:hAnsi="Franklin Gothic Book" w:cs="Calibri"/>
                <w:sz w:val="24"/>
                <w:szCs w:val="24"/>
              </w:rPr>
              <w:t>s</w:t>
            </w:r>
            <w:r w:rsidRPr="00B73A48">
              <w:rPr>
                <w:rFonts w:ascii="Franklin Gothic Book" w:eastAsia="Times New Roman" w:hAnsi="Franklin Gothic Book" w:cs="Calibri"/>
                <w:sz w:val="24"/>
                <w:szCs w:val="24"/>
              </w:rPr>
              <w:t>, consultants</w:t>
            </w:r>
            <w:r>
              <w:rPr>
                <w:rFonts w:ascii="Franklin Gothic Book" w:eastAsia="Times New Roman" w:hAnsi="Franklin Gothic Book" w:cs="Calibri"/>
                <w:sz w:val="24"/>
                <w:szCs w:val="24"/>
              </w:rPr>
              <w:t xml:space="preserve">, </w:t>
            </w:r>
            <w:r w:rsidRPr="00B73A48">
              <w:rPr>
                <w:rFonts w:ascii="Franklin Gothic Book" w:eastAsia="Times New Roman" w:hAnsi="Franklin Gothic Book" w:cs="Calibri"/>
                <w:sz w:val="24"/>
                <w:szCs w:val="24"/>
              </w:rPr>
              <w:t>independent contractors</w:t>
            </w:r>
            <w:r>
              <w:rPr>
                <w:rFonts w:ascii="Franklin Gothic Book" w:eastAsia="Times New Roman" w:hAnsi="Franklin Gothic Book" w:cs="Calibri"/>
                <w:sz w:val="24"/>
                <w:szCs w:val="24"/>
              </w:rPr>
              <w:t xml:space="preserve">, </w:t>
            </w:r>
            <w:r w:rsidRPr="00B73A48">
              <w:rPr>
                <w:rFonts w:ascii="Franklin Gothic Book" w:eastAsia="Times New Roman" w:hAnsi="Franklin Gothic Book" w:cs="Calibri"/>
                <w:sz w:val="24"/>
                <w:szCs w:val="24"/>
              </w:rPr>
              <w:t xml:space="preserve">or payments to MCW employees </w:t>
            </w:r>
            <w:r>
              <w:rPr>
                <w:rFonts w:ascii="Franklin Gothic Book" w:eastAsia="Times New Roman" w:hAnsi="Franklin Gothic Book" w:cs="Calibri"/>
                <w:sz w:val="24"/>
                <w:szCs w:val="24"/>
              </w:rPr>
              <w:t xml:space="preserve">or primary community partners </w:t>
            </w:r>
            <w:r w:rsidRPr="00B73A48">
              <w:rPr>
                <w:rFonts w:ascii="Franklin Gothic Book" w:eastAsia="Times New Roman" w:hAnsi="Franklin Gothic Book" w:cs="Calibri"/>
                <w:sz w:val="24"/>
                <w:szCs w:val="24"/>
              </w:rPr>
              <w:t>(must be paid through Payroll).</w:t>
            </w:r>
          </w:p>
        </w:tc>
      </w:tr>
      <w:tr w:rsidR="00AB0872" w:rsidRPr="00D37506" w14:paraId="789EEBE8" w14:textId="77777777" w:rsidTr="00290C88">
        <w:trPr>
          <w:trHeight w:val="1365"/>
        </w:trPr>
        <w:tc>
          <w:tcPr>
            <w:tcW w:w="2565" w:type="dxa"/>
            <w:tcBorders>
              <w:top w:val="nil"/>
              <w:left w:val="single" w:sz="8" w:space="0" w:color="auto"/>
              <w:bottom w:val="single" w:sz="4" w:space="0" w:color="auto"/>
              <w:right w:val="single" w:sz="8" w:space="0" w:color="auto"/>
            </w:tcBorders>
            <w:shd w:val="clear" w:color="auto" w:fill="FFFFFF" w:themeFill="background1"/>
            <w:vAlign w:val="center"/>
          </w:tcPr>
          <w:p w14:paraId="40E3F269" w14:textId="6A99636D"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highlight w:val="yellow"/>
              </w:rPr>
            </w:pPr>
            <w:r w:rsidRPr="00B73A48">
              <w:rPr>
                <w:rFonts w:ascii="Franklin Gothic Book" w:eastAsia="Times New Roman" w:hAnsi="Franklin Gothic Book" w:cs="Calibri"/>
                <w:b/>
                <w:bCs/>
                <w:sz w:val="24"/>
                <w:szCs w:val="24"/>
              </w:rPr>
              <w:t>Internal Service Charge</w:t>
            </w:r>
          </w:p>
        </w:tc>
        <w:tc>
          <w:tcPr>
            <w:tcW w:w="3707" w:type="dxa"/>
            <w:tcBorders>
              <w:top w:val="nil"/>
              <w:left w:val="nil"/>
              <w:bottom w:val="single" w:sz="4" w:space="0" w:color="auto"/>
              <w:right w:val="single" w:sz="8" w:space="0" w:color="auto"/>
            </w:tcBorders>
            <w:shd w:val="clear" w:color="auto" w:fill="FFFFFF" w:themeFill="background1"/>
            <w:vAlign w:val="center"/>
          </w:tcPr>
          <w:p w14:paraId="03D76B4F" w14:textId="198841DD"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highlight w:val="yellow"/>
              </w:rPr>
            </w:pPr>
            <w:r w:rsidRPr="00B17AD3">
              <w:rPr>
                <w:rFonts w:ascii="Franklin Gothic Book" w:eastAsia="Times New Roman" w:hAnsi="Franklin Gothic Book" w:cs="Calibri"/>
                <w:sz w:val="24"/>
                <w:szCs w:val="24"/>
              </w:rPr>
              <w:t>Internal billings – fees associated with sales of goods and services between departments within the same organization. Operating units that use specialized equipment or technical expertise to provide project-related goods or services for a fee (mass spectrometry, biostatistician, tissue bank, etc.)</w:t>
            </w:r>
          </w:p>
        </w:tc>
        <w:tc>
          <w:tcPr>
            <w:tcW w:w="3240" w:type="dxa"/>
            <w:tcBorders>
              <w:top w:val="nil"/>
              <w:left w:val="nil"/>
              <w:bottom w:val="single" w:sz="4" w:space="0" w:color="auto"/>
              <w:right w:val="single" w:sz="8" w:space="0" w:color="auto"/>
            </w:tcBorders>
            <w:shd w:val="clear" w:color="auto" w:fill="FFFFFF" w:themeFill="background1"/>
          </w:tcPr>
          <w:p w14:paraId="7A3C5BE9" w14:textId="6014519E"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highlight w:val="yellow"/>
              </w:rPr>
            </w:pPr>
          </w:p>
        </w:tc>
      </w:tr>
      <w:tr w:rsidR="00AB0872" w:rsidRPr="00D37506" w14:paraId="22EB7495" w14:textId="77777777" w:rsidTr="00290C88">
        <w:trPr>
          <w:trHeight w:val="1365"/>
        </w:trPr>
        <w:tc>
          <w:tcPr>
            <w:tcW w:w="2565"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222329E0" w14:textId="1B537907"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b/>
                <w:bCs/>
                <w:i/>
                <w:sz w:val="24"/>
                <w:szCs w:val="24"/>
              </w:rPr>
            </w:pPr>
            <w:r w:rsidRPr="00B73A48">
              <w:rPr>
                <w:rFonts w:ascii="Franklin Gothic Book" w:eastAsia="Times New Roman" w:hAnsi="Franklin Gothic Book" w:cs="Calibri"/>
                <w:b/>
                <w:bCs/>
                <w:sz w:val="24"/>
                <w:szCs w:val="24"/>
              </w:rPr>
              <w:t>Maintenance and Repair</w:t>
            </w:r>
          </w:p>
        </w:tc>
        <w:tc>
          <w:tcPr>
            <w:tcW w:w="3707" w:type="dxa"/>
            <w:tcBorders>
              <w:top w:val="nil"/>
              <w:left w:val="nil"/>
              <w:bottom w:val="single" w:sz="4" w:space="0" w:color="auto"/>
              <w:right w:val="single" w:sz="8" w:space="0" w:color="auto"/>
            </w:tcBorders>
            <w:shd w:val="clear" w:color="auto" w:fill="D9D9D9" w:themeFill="background1" w:themeFillShade="D9"/>
            <w:vAlign w:val="center"/>
          </w:tcPr>
          <w:p w14:paraId="3A0A3BFC" w14:textId="6C56CECB"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Costs to keep project-related supplies and equipment in efficient operating condition</w:t>
            </w:r>
          </w:p>
        </w:tc>
        <w:tc>
          <w:tcPr>
            <w:tcW w:w="3240" w:type="dxa"/>
            <w:tcBorders>
              <w:top w:val="nil"/>
              <w:left w:val="nil"/>
              <w:bottom w:val="single" w:sz="4" w:space="0" w:color="auto"/>
              <w:right w:val="single" w:sz="8" w:space="0" w:color="auto"/>
            </w:tcBorders>
            <w:shd w:val="clear" w:color="auto" w:fill="D9D9D9" w:themeFill="background1" w:themeFillShade="D9"/>
          </w:tcPr>
          <w:p w14:paraId="35AC0292" w14:textId="59482600"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*See prorating policy on page 2 of this document</w:t>
            </w:r>
          </w:p>
        </w:tc>
      </w:tr>
      <w:tr w:rsidR="00AB0872" w:rsidRPr="00D37506" w14:paraId="05D04845" w14:textId="77777777" w:rsidTr="00290C88">
        <w:trPr>
          <w:trHeight w:val="1365"/>
        </w:trPr>
        <w:tc>
          <w:tcPr>
            <w:tcW w:w="2565" w:type="dxa"/>
            <w:tcBorders>
              <w:top w:val="nil"/>
              <w:left w:val="single" w:sz="8" w:space="0" w:color="auto"/>
              <w:bottom w:val="single" w:sz="4" w:space="0" w:color="auto"/>
              <w:right w:val="single" w:sz="8" w:space="0" w:color="auto"/>
            </w:tcBorders>
            <w:shd w:val="clear" w:color="auto" w:fill="FFFFFF" w:themeFill="background1"/>
            <w:vAlign w:val="center"/>
          </w:tcPr>
          <w:p w14:paraId="74464BBF" w14:textId="3FE6A957"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lastRenderedPageBreak/>
              <w:t>Meals and Meeting Refreshments</w:t>
            </w:r>
          </w:p>
        </w:tc>
        <w:tc>
          <w:tcPr>
            <w:tcW w:w="3707" w:type="dxa"/>
            <w:tcBorders>
              <w:top w:val="nil"/>
              <w:left w:val="nil"/>
              <w:bottom w:val="single" w:sz="4" w:space="0" w:color="auto"/>
              <w:right w:val="single" w:sz="8" w:space="0" w:color="auto"/>
            </w:tcBorders>
            <w:shd w:val="clear" w:color="auto" w:fill="FFFFFF" w:themeFill="background1"/>
            <w:vAlign w:val="center"/>
          </w:tcPr>
          <w:p w14:paraId="47D4D3A6" w14:textId="0EFB3232"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Meals associated with a project-related conference or symposium, meeting requirements, site visit meals, guest meals, etc.</w:t>
            </w:r>
          </w:p>
        </w:tc>
        <w:tc>
          <w:tcPr>
            <w:tcW w:w="3240" w:type="dxa"/>
            <w:tcBorders>
              <w:top w:val="nil"/>
              <w:left w:val="nil"/>
              <w:bottom w:val="single" w:sz="4" w:space="0" w:color="auto"/>
              <w:right w:val="single" w:sz="8" w:space="0" w:color="auto"/>
            </w:tcBorders>
            <w:shd w:val="clear" w:color="auto" w:fill="FFFFFF" w:themeFill="background1"/>
          </w:tcPr>
          <w:p w14:paraId="55C1557F" w14:textId="77777777" w:rsidR="00AB0872"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Recreational activities, either for entertainment, team building, or celebration are unallowable</w:t>
            </w:r>
            <w:r>
              <w:rPr>
                <w:rFonts w:ascii="Franklin Gothic Book" w:eastAsia="Times New Roman" w:hAnsi="Franklin Gothic Book" w:cs="Calibri"/>
                <w:sz w:val="24"/>
                <w:szCs w:val="24"/>
              </w:rPr>
              <w:t>. Alcoholic beverages are unallowable</w:t>
            </w:r>
          </w:p>
          <w:p w14:paraId="4AC86B7C" w14:textId="5CC5280E"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r>
      <w:tr w:rsidR="00AB0872" w:rsidRPr="00D37506" w14:paraId="68B1E3E9" w14:textId="77777777" w:rsidTr="00290C88">
        <w:trPr>
          <w:trHeight w:val="1365"/>
        </w:trPr>
        <w:tc>
          <w:tcPr>
            <w:tcW w:w="2565"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3DE42DEE" w14:textId="74F9BEDA"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t>Photocopying and Printing</w:t>
            </w:r>
          </w:p>
        </w:tc>
        <w:tc>
          <w:tcPr>
            <w:tcW w:w="3707" w:type="dxa"/>
            <w:tcBorders>
              <w:top w:val="nil"/>
              <w:left w:val="nil"/>
              <w:bottom w:val="single" w:sz="4" w:space="0" w:color="auto"/>
              <w:right w:val="single" w:sz="8" w:space="0" w:color="auto"/>
            </w:tcBorders>
            <w:shd w:val="clear" w:color="auto" w:fill="D9D9D9" w:themeFill="background1" w:themeFillShade="D9"/>
            <w:vAlign w:val="center"/>
          </w:tcPr>
          <w:p w14:paraId="75C2C6F8" w14:textId="2C1BA99B"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Photocopying and printing of documents for non-routine, project-specific use</w:t>
            </w:r>
          </w:p>
        </w:tc>
        <w:tc>
          <w:tcPr>
            <w:tcW w:w="3240" w:type="dxa"/>
            <w:tcBorders>
              <w:top w:val="nil"/>
              <w:left w:val="nil"/>
              <w:bottom w:val="single" w:sz="4" w:space="0" w:color="auto"/>
              <w:right w:val="single" w:sz="8" w:space="0" w:color="auto"/>
            </w:tcBorders>
            <w:shd w:val="clear" w:color="auto" w:fill="D9D9D9" w:themeFill="background1" w:themeFillShade="D9"/>
          </w:tcPr>
          <w:p w14:paraId="4C580B2F" w14:textId="014E4D5C"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r>
      <w:tr w:rsidR="00AB0872" w:rsidRPr="00D37506" w14:paraId="70928A96" w14:textId="77777777" w:rsidTr="00290C88">
        <w:trPr>
          <w:trHeight w:val="1365"/>
        </w:trPr>
        <w:tc>
          <w:tcPr>
            <w:tcW w:w="2565" w:type="dxa"/>
            <w:tcBorders>
              <w:top w:val="nil"/>
              <w:left w:val="single" w:sz="8" w:space="0" w:color="auto"/>
              <w:bottom w:val="single" w:sz="4" w:space="0" w:color="auto"/>
              <w:right w:val="single" w:sz="8" w:space="0" w:color="auto"/>
            </w:tcBorders>
            <w:shd w:val="clear" w:color="auto" w:fill="FFFFFF" w:themeFill="background1"/>
            <w:vAlign w:val="center"/>
          </w:tcPr>
          <w:p w14:paraId="4077CCA3" w14:textId="3C467540"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t>Postage/Messenger Service</w:t>
            </w:r>
          </w:p>
        </w:tc>
        <w:tc>
          <w:tcPr>
            <w:tcW w:w="3707" w:type="dxa"/>
            <w:tcBorders>
              <w:top w:val="nil"/>
              <w:left w:val="nil"/>
              <w:bottom w:val="single" w:sz="4" w:space="0" w:color="auto"/>
              <w:right w:val="single" w:sz="8" w:space="0" w:color="auto"/>
            </w:tcBorders>
            <w:shd w:val="clear" w:color="auto" w:fill="FFFFFF" w:themeFill="background1"/>
            <w:vAlign w:val="center"/>
          </w:tcPr>
          <w:p w14:paraId="4EF26A19" w14:textId="760CFF33"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Non-routine, project-specific postage costs, overnight delivery service or special shipping services, other than routine postage costs, including shipping of samples, receiving goods for project use or other delivery items </w:t>
            </w:r>
          </w:p>
        </w:tc>
        <w:tc>
          <w:tcPr>
            <w:tcW w:w="3240" w:type="dxa"/>
            <w:tcBorders>
              <w:top w:val="nil"/>
              <w:left w:val="nil"/>
              <w:bottom w:val="single" w:sz="4" w:space="0" w:color="auto"/>
              <w:right w:val="single" w:sz="8" w:space="0" w:color="auto"/>
            </w:tcBorders>
            <w:shd w:val="clear" w:color="auto" w:fill="FFFFFF" w:themeFill="background1"/>
          </w:tcPr>
          <w:p w14:paraId="44DD159A" w14:textId="77777777"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r>
      <w:tr w:rsidR="009A7A9E" w:rsidRPr="00D37506" w14:paraId="482FB6E6" w14:textId="77777777" w:rsidTr="00C5341A">
        <w:trPr>
          <w:trHeight w:val="1365"/>
        </w:trPr>
        <w:tc>
          <w:tcPr>
            <w:tcW w:w="2565"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0AB80FBE" w14:textId="77777777" w:rsidR="00AB0872" w:rsidRPr="00AB0872" w:rsidRDefault="00AB0872" w:rsidP="00AB0872">
            <w:pPr>
              <w:spacing w:after="0" w:line="240" w:lineRule="auto"/>
              <w:rPr>
                <w:rFonts w:ascii="Franklin Gothic Book" w:eastAsia="Times New Roman" w:hAnsi="Franklin Gothic Book" w:cs="Calibri"/>
                <w:b/>
                <w:bCs/>
                <w:kern w:val="2"/>
                <w:sz w:val="24"/>
                <w:szCs w:val="24"/>
                <w14:ligatures w14:val="standardContextual"/>
              </w:rPr>
            </w:pPr>
            <w:r w:rsidRPr="00AB0872">
              <w:rPr>
                <w:rFonts w:ascii="Franklin Gothic Book" w:eastAsia="Times New Roman" w:hAnsi="Franklin Gothic Book" w:cs="Calibri"/>
                <w:b/>
                <w:bCs/>
                <w:kern w:val="2"/>
                <w:sz w:val="24"/>
                <w:szCs w:val="24"/>
                <w14:ligatures w14:val="standardContextual"/>
              </w:rPr>
              <w:t>Prevention Services</w:t>
            </w:r>
          </w:p>
          <w:p w14:paraId="5F2C05AB" w14:textId="2855B403" w:rsidR="009A7A9E" w:rsidRPr="00B73A48" w:rsidRDefault="009A7A9E">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p>
        </w:tc>
        <w:tc>
          <w:tcPr>
            <w:tcW w:w="3707" w:type="dxa"/>
            <w:tcBorders>
              <w:top w:val="nil"/>
              <w:left w:val="nil"/>
              <w:bottom w:val="single" w:sz="4" w:space="0" w:color="auto"/>
              <w:right w:val="single" w:sz="8" w:space="0" w:color="auto"/>
            </w:tcBorders>
            <w:shd w:val="clear" w:color="auto" w:fill="D9D9D9" w:themeFill="background1" w:themeFillShade="D9"/>
            <w:vAlign w:val="center"/>
          </w:tcPr>
          <w:p w14:paraId="36E24A5D" w14:textId="7850A7C4" w:rsidR="009A7A9E" w:rsidRPr="00B73A48" w:rsidRDefault="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AB0872">
              <w:rPr>
                <w:rFonts w:ascii="Franklin Gothic Book" w:eastAsia="Times New Roman" w:hAnsi="Franklin Gothic Book" w:cs="Calibri"/>
                <w:sz w:val="24"/>
                <w:szCs w:val="24"/>
              </w:rPr>
              <w:t>Support services that involve screening, education, and/or mobilizing resources to promote health</w:t>
            </w:r>
            <w:r>
              <w:rPr>
                <w:rFonts w:ascii="Franklin Gothic Book" w:eastAsia="Times New Roman" w:hAnsi="Franklin Gothic Book" w:cs="Calibri"/>
                <w:sz w:val="24"/>
                <w:szCs w:val="24"/>
              </w:rPr>
              <w:t>.</w:t>
            </w:r>
          </w:p>
        </w:tc>
        <w:tc>
          <w:tcPr>
            <w:tcW w:w="3240" w:type="dxa"/>
            <w:tcBorders>
              <w:top w:val="nil"/>
              <w:left w:val="nil"/>
              <w:bottom w:val="single" w:sz="4" w:space="0" w:color="auto"/>
              <w:right w:val="single" w:sz="8" w:space="0" w:color="auto"/>
            </w:tcBorders>
            <w:shd w:val="clear" w:color="auto" w:fill="D9D9D9" w:themeFill="background1" w:themeFillShade="D9"/>
          </w:tcPr>
          <w:p w14:paraId="597B6A24" w14:textId="77777777" w:rsidR="00AB0872" w:rsidRPr="00AB0872"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AB0872">
              <w:rPr>
                <w:rFonts w:ascii="Franklin Gothic Book" w:eastAsia="Times New Roman" w:hAnsi="Franklin Gothic Book" w:cs="Calibri"/>
                <w:sz w:val="24"/>
                <w:szCs w:val="24"/>
              </w:rPr>
              <w:t>Providing clinical services related to treatment or follow-up for specific health conditions is unallowable.</w:t>
            </w:r>
          </w:p>
          <w:p w14:paraId="6EA3BA3F" w14:textId="77777777" w:rsidR="00AB0872" w:rsidRPr="00AB0872"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224B9213" w14:textId="5CAF48B5" w:rsidR="009A7A9E" w:rsidRPr="00B73A48" w:rsidRDefault="00AB0872" w:rsidP="00AB0872">
            <w:pPr>
              <w:spacing w:after="0" w:line="240" w:lineRule="auto"/>
              <w:rPr>
                <w:rFonts w:ascii="Franklin Gothic Book" w:eastAsia="Times New Roman" w:hAnsi="Franklin Gothic Book" w:cs="Calibri"/>
                <w:sz w:val="24"/>
                <w:szCs w:val="24"/>
              </w:rPr>
            </w:pPr>
            <w:r w:rsidRPr="00AB0872">
              <w:rPr>
                <w:rFonts w:ascii="Franklin Gothic Book" w:eastAsia="Times New Roman" w:hAnsi="Franklin Gothic Book" w:cs="Calibri"/>
                <w:sz w:val="24"/>
                <w:szCs w:val="24"/>
              </w:rPr>
              <w:t>Billable health services, such as medical services that are covered by a health insurance plan and can be billed to the insurance company is unallowable.</w:t>
            </w:r>
          </w:p>
        </w:tc>
      </w:tr>
      <w:tr w:rsidR="00863B3E" w:rsidRPr="00D37506" w14:paraId="52332827" w14:textId="77777777" w:rsidTr="00C5341A">
        <w:trPr>
          <w:trHeight w:val="1365"/>
        </w:trPr>
        <w:tc>
          <w:tcPr>
            <w:tcW w:w="2565" w:type="dxa"/>
            <w:tcBorders>
              <w:top w:val="nil"/>
              <w:left w:val="single" w:sz="8" w:space="0" w:color="auto"/>
              <w:bottom w:val="single" w:sz="4" w:space="0" w:color="auto"/>
              <w:right w:val="single" w:sz="8" w:space="0" w:color="auto"/>
            </w:tcBorders>
            <w:shd w:val="clear" w:color="auto" w:fill="FFFFFF" w:themeFill="background1"/>
            <w:vAlign w:val="center"/>
          </w:tcPr>
          <w:p w14:paraId="5556295E" w14:textId="77777777" w:rsidR="00863B3E" w:rsidRPr="00B73A48" w:rsidRDefault="00863B3E">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t>Professional Memberships and Dues</w:t>
            </w:r>
          </w:p>
        </w:tc>
        <w:tc>
          <w:tcPr>
            <w:tcW w:w="3707" w:type="dxa"/>
            <w:tcBorders>
              <w:top w:val="nil"/>
              <w:left w:val="nil"/>
              <w:bottom w:val="single" w:sz="4" w:space="0" w:color="auto"/>
              <w:right w:val="single" w:sz="8" w:space="0" w:color="auto"/>
            </w:tcBorders>
            <w:shd w:val="clear" w:color="auto" w:fill="FFFFFF" w:themeFill="background1"/>
            <w:vAlign w:val="center"/>
          </w:tcPr>
          <w:p w14:paraId="657DEB04" w14:textId="328FDB1E" w:rsidR="00863B3E" w:rsidRPr="00B73A48" w:rsidRDefault="00863B3E">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Memberships and dues to belong to professional or technical organizations</w:t>
            </w:r>
            <w:r w:rsidR="00B23EFC" w:rsidRPr="00B73A48">
              <w:rPr>
                <w:rFonts w:ascii="Franklin Gothic Book" w:eastAsia="Times New Roman" w:hAnsi="Franklin Gothic Book" w:cs="Calibri"/>
                <w:sz w:val="24"/>
                <w:szCs w:val="24"/>
              </w:rPr>
              <w:t xml:space="preserve"> that further the aims and objectives of the project</w:t>
            </w:r>
            <w:r w:rsidRPr="00B73A48">
              <w:rPr>
                <w:rFonts w:ascii="Franklin Gothic Book" w:eastAsia="Times New Roman" w:hAnsi="Franklin Gothic Book" w:cs="Calibri"/>
                <w:sz w:val="24"/>
                <w:szCs w:val="24"/>
              </w:rPr>
              <w:t xml:space="preserve"> </w:t>
            </w:r>
          </w:p>
          <w:p w14:paraId="2AADD990" w14:textId="77777777" w:rsidR="00863B3E" w:rsidRPr="00B73A48" w:rsidRDefault="00863B3E">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c>
          <w:tcPr>
            <w:tcW w:w="3240" w:type="dxa"/>
            <w:tcBorders>
              <w:top w:val="nil"/>
              <w:left w:val="nil"/>
              <w:bottom w:val="single" w:sz="4" w:space="0" w:color="auto"/>
              <w:right w:val="single" w:sz="8" w:space="0" w:color="auto"/>
            </w:tcBorders>
            <w:shd w:val="clear" w:color="auto" w:fill="FFFFFF" w:themeFill="background1"/>
          </w:tcPr>
          <w:p w14:paraId="5763E3BE" w14:textId="77777777" w:rsidR="00863B3E" w:rsidRPr="00B73A48" w:rsidRDefault="00A51ADF">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Unallowable if g</w:t>
            </w:r>
            <w:r w:rsidR="007D103F" w:rsidRPr="00B73A48">
              <w:rPr>
                <w:rFonts w:ascii="Franklin Gothic Book" w:eastAsia="Times New Roman" w:hAnsi="Franklin Gothic Book" w:cs="Calibri"/>
                <w:sz w:val="24"/>
                <w:szCs w:val="24"/>
              </w:rPr>
              <w:t xml:space="preserve">eneral professional </w:t>
            </w:r>
            <w:r w:rsidR="00863B3E" w:rsidRPr="00B73A48">
              <w:rPr>
                <w:rFonts w:ascii="Franklin Gothic Book" w:eastAsia="Times New Roman" w:hAnsi="Franklin Gothic Book" w:cs="Calibri"/>
                <w:sz w:val="24"/>
                <w:szCs w:val="24"/>
              </w:rPr>
              <w:t>development expenses</w:t>
            </w:r>
          </w:p>
          <w:p w14:paraId="6A802C5F" w14:textId="125BF7CF" w:rsidR="00DF1C39" w:rsidRPr="00B73A48" w:rsidRDefault="00DF1C39">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*See prorating policy on page </w:t>
            </w:r>
            <w:r w:rsidR="000478B4" w:rsidRPr="00B73A48">
              <w:rPr>
                <w:rFonts w:ascii="Franklin Gothic Book" w:eastAsia="Times New Roman" w:hAnsi="Franklin Gothic Book" w:cs="Calibri"/>
                <w:sz w:val="24"/>
                <w:szCs w:val="24"/>
              </w:rPr>
              <w:t>2</w:t>
            </w:r>
            <w:r w:rsidRPr="00B73A48">
              <w:rPr>
                <w:rFonts w:ascii="Franklin Gothic Book" w:eastAsia="Times New Roman" w:hAnsi="Franklin Gothic Book" w:cs="Calibri"/>
                <w:sz w:val="24"/>
                <w:szCs w:val="24"/>
              </w:rPr>
              <w:t xml:space="preserve"> of this document</w:t>
            </w:r>
          </w:p>
        </w:tc>
      </w:tr>
      <w:tr w:rsidR="0066691C" w:rsidRPr="00D37506" w14:paraId="394DCFE9" w14:textId="77777777" w:rsidTr="00C5341A">
        <w:trPr>
          <w:trHeight w:val="1365"/>
        </w:trPr>
        <w:tc>
          <w:tcPr>
            <w:tcW w:w="2565"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40DB8DEF" w14:textId="54CCE3F1" w:rsidR="0066691C" w:rsidRPr="00B73A48"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t>Publication Costs</w:t>
            </w:r>
          </w:p>
        </w:tc>
        <w:tc>
          <w:tcPr>
            <w:tcW w:w="3707" w:type="dxa"/>
            <w:tcBorders>
              <w:top w:val="nil"/>
              <w:left w:val="nil"/>
              <w:bottom w:val="single" w:sz="4" w:space="0" w:color="auto"/>
              <w:right w:val="single" w:sz="8" w:space="0" w:color="auto"/>
            </w:tcBorders>
            <w:shd w:val="clear" w:color="auto" w:fill="D9D9D9" w:themeFill="background1" w:themeFillShade="D9"/>
            <w:vAlign w:val="center"/>
          </w:tcPr>
          <w:p w14:paraId="41E0E3F7" w14:textId="70698132" w:rsidR="0066691C" w:rsidRPr="00B73A48"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Charges for </w:t>
            </w:r>
            <w:r w:rsidR="004E6ED9" w:rsidRPr="00B73A48">
              <w:rPr>
                <w:rFonts w:ascii="Franklin Gothic Book" w:eastAsia="Times New Roman" w:hAnsi="Franklin Gothic Book" w:cs="Calibri"/>
                <w:sz w:val="24"/>
                <w:szCs w:val="24"/>
              </w:rPr>
              <w:t xml:space="preserve">project-related </w:t>
            </w:r>
            <w:r w:rsidRPr="00B73A48">
              <w:rPr>
                <w:rFonts w:ascii="Franklin Gothic Book" w:eastAsia="Times New Roman" w:hAnsi="Franklin Gothic Book" w:cs="Calibri"/>
                <w:sz w:val="24"/>
                <w:szCs w:val="24"/>
              </w:rPr>
              <w:t>publication in professional journals, including author fees</w:t>
            </w:r>
            <w:r w:rsidR="00273D58" w:rsidRPr="00B73A48">
              <w:rPr>
                <w:rFonts w:ascii="Franklin Gothic Book" w:eastAsia="Times New Roman" w:hAnsi="Franklin Gothic Book" w:cs="Calibri"/>
                <w:sz w:val="24"/>
                <w:szCs w:val="24"/>
              </w:rPr>
              <w:t xml:space="preserve">, if such costs are actual, </w:t>
            </w:r>
            <w:r w:rsidR="001E3ABF" w:rsidRPr="00B73A48">
              <w:rPr>
                <w:rFonts w:ascii="Franklin Gothic Book" w:eastAsia="Times New Roman" w:hAnsi="Franklin Gothic Book" w:cs="Calibri"/>
                <w:sz w:val="24"/>
                <w:szCs w:val="24"/>
              </w:rPr>
              <w:t>direct</w:t>
            </w:r>
            <w:r w:rsidR="00273D58" w:rsidRPr="00B73A48">
              <w:rPr>
                <w:rFonts w:ascii="Franklin Gothic Book" w:eastAsia="Times New Roman" w:hAnsi="Franklin Gothic Book" w:cs="Calibri"/>
                <w:sz w:val="24"/>
                <w:szCs w:val="24"/>
              </w:rPr>
              <w:t>, and reasonable to advance the aims and objectives of the award; are charged consistently by the journal regardless of the source of support</w:t>
            </w:r>
            <w:r w:rsidR="00B17AD3">
              <w:rPr>
                <w:rFonts w:ascii="Franklin Gothic Book" w:eastAsia="Times New Roman" w:hAnsi="Franklin Gothic Book" w:cs="Calibri"/>
                <w:sz w:val="24"/>
                <w:szCs w:val="24"/>
              </w:rPr>
              <w:t>.</w:t>
            </w:r>
          </w:p>
        </w:tc>
        <w:tc>
          <w:tcPr>
            <w:tcW w:w="3240" w:type="dxa"/>
            <w:tcBorders>
              <w:top w:val="nil"/>
              <w:left w:val="nil"/>
              <w:bottom w:val="single" w:sz="4" w:space="0" w:color="auto"/>
              <w:right w:val="single" w:sz="8" w:space="0" w:color="auto"/>
            </w:tcBorders>
            <w:shd w:val="clear" w:color="auto" w:fill="D9D9D9" w:themeFill="background1" w:themeFillShade="D9"/>
          </w:tcPr>
          <w:p w14:paraId="6B9641E9" w14:textId="6C159EEB" w:rsidR="0066691C" w:rsidRPr="00B73A48"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7E6B76E9" w14:textId="77777777" w:rsidR="0066691C" w:rsidRPr="00B73A48"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29EA479C" w14:textId="6E5CB8A2" w:rsidR="00DF1C39" w:rsidRPr="00B73A48" w:rsidRDefault="00754320">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Unallowable </w:t>
            </w:r>
            <w:r w:rsidR="0066691C" w:rsidRPr="00B73A48">
              <w:rPr>
                <w:rFonts w:ascii="Franklin Gothic Book" w:eastAsia="Times New Roman" w:hAnsi="Franklin Gothic Book" w:cs="Calibri"/>
                <w:sz w:val="24"/>
                <w:szCs w:val="24"/>
              </w:rPr>
              <w:t xml:space="preserve">if benefits education or research in general or </w:t>
            </w:r>
            <w:r w:rsidR="00273D58" w:rsidRPr="00B73A48">
              <w:rPr>
                <w:rFonts w:ascii="Franklin Gothic Book" w:eastAsia="Times New Roman" w:hAnsi="Franklin Gothic Book" w:cs="Calibri"/>
                <w:sz w:val="24"/>
                <w:szCs w:val="24"/>
              </w:rPr>
              <w:t>an individual</w:t>
            </w:r>
            <w:r w:rsidR="0066691C" w:rsidRPr="00B73A48">
              <w:rPr>
                <w:rFonts w:ascii="Franklin Gothic Book" w:eastAsia="Times New Roman" w:hAnsi="Franklin Gothic Book" w:cs="Calibri"/>
                <w:sz w:val="24"/>
                <w:szCs w:val="24"/>
              </w:rPr>
              <w:t xml:space="preserve"> in general</w:t>
            </w:r>
          </w:p>
          <w:p w14:paraId="7BBDBECE" w14:textId="02F80748" w:rsidR="00DF1C39" w:rsidRPr="00B73A48" w:rsidRDefault="00DF1C39">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r>
      <w:tr w:rsidR="009A7A9E" w:rsidRPr="00D37506" w14:paraId="797C32BE" w14:textId="77777777" w:rsidTr="00C5341A">
        <w:trPr>
          <w:trHeight w:val="1365"/>
        </w:trPr>
        <w:tc>
          <w:tcPr>
            <w:tcW w:w="2565" w:type="dxa"/>
            <w:tcBorders>
              <w:top w:val="nil"/>
              <w:left w:val="single" w:sz="8" w:space="0" w:color="auto"/>
              <w:bottom w:val="single" w:sz="4" w:space="0" w:color="auto"/>
              <w:right w:val="single" w:sz="8" w:space="0" w:color="auto"/>
            </w:tcBorders>
            <w:shd w:val="clear" w:color="auto" w:fill="FFFFFF" w:themeFill="background1"/>
            <w:vAlign w:val="center"/>
          </w:tcPr>
          <w:p w14:paraId="5C845D3C" w14:textId="77777777" w:rsidR="009A7A9E" w:rsidRPr="00B73A48" w:rsidRDefault="009A7A9E">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t>Rent</w:t>
            </w:r>
          </w:p>
        </w:tc>
        <w:tc>
          <w:tcPr>
            <w:tcW w:w="3707" w:type="dxa"/>
            <w:tcBorders>
              <w:top w:val="nil"/>
              <w:left w:val="nil"/>
              <w:bottom w:val="single" w:sz="4" w:space="0" w:color="auto"/>
              <w:right w:val="single" w:sz="8" w:space="0" w:color="auto"/>
            </w:tcBorders>
            <w:shd w:val="clear" w:color="auto" w:fill="FFFFFF" w:themeFill="background1"/>
            <w:vAlign w:val="center"/>
          </w:tcPr>
          <w:p w14:paraId="4653A8D8" w14:textId="1A8E5B72" w:rsidR="00C17D7F" w:rsidRPr="00B73A48" w:rsidRDefault="00966F2E">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Pr>
                <w:rFonts w:ascii="Franklin Gothic Book" w:eastAsia="Times New Roman" w:hAnsi="Franklin Gothic Book" w:cs="Calibri"/>
                <w:sz w:val="24"/>
                <w:szCs w:val="24"/>
              </w:rPr>
              <w:t>Incremental c</w:t>
            </w:r>
            <w:r w:rsidR="009A7A9E" w:rsidRPr="00B73A48">
              <w:rPr>
                <w:rFonts w:ascii="Franklin Gothic Book" w:eastAsia="Times New Roman" w:hAnsi="Franklin Gothic Book" w:cs="Calibri"/>
                <w:sz w:val="24"/>
                <w:szCs w:val="24"/>
              </w:rPr>
              <w:t>ost to lease space or equipment</w:t>
            </w:r>
            <w:r w:rsidR="00390566" w:rsidRPr="00B73A48">
              <w:rPr>
                <w:rFonts w:ascii="Franklin Gothic Book" w:eastAsia="Times New Roman" w:hAnsi="Franklin Gothic Book" w:cs="Calibri"/>
                <w:sz w:val="24"/>
                <w:szCs w:val="24"/>
              </w:rPr>
              <w:t xml:space="preserve"> </w:t>
            </w:r>
          </w:p>
          <w:p w14:paraId="063629BA" w14:textId="77777777" w:rsidR="00C17D7F" w:rsidRPr="00B73A48" w:rsidRDefault="00C17D7F">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5CF9A50E" w14:textId="6FB47532" w:rsidR="00B23EFC" w:rsidRPr="00B73A48" w:rsidRDefault="00B23EF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Direct cost treatment must be specifically requested and justified in proposal or in an </w:t>
            </w:r>
            <w:r w:rsidRPr="00B73A48">
              <w:rPr>
                <w:rFonts w:ascii="Franklin Gothic Book" w:eastAsia="Times New Roman" w:hAnsi="Franklin Gothic Book" w:cs="Calibri"/>
                <w:sz w:val="24"/>
                <w:szCs w:val="24"/>
              </w:rPr>
              <w:lastRenderedPageBreak/>
              <w:t>approved change request</w:t>
            </w:r>
          </w:p>
        </w:tc>
        <w:tc>
          <w:tcPr>
            <w:tcW w:w="3240" w:type="dxa"/>
            <w:tcBorders>
              <w:top w:val="nil"/>
              <w:left w:val="nil"/>
              <w:bottom w:val="single" w:sz="4" w:space="0" w:color="auto"/>
              <w:right w:val="single" w:sz="8" w:space="0" w:color="auto"/>
            </w:tcBorders>
            <w:shd w:val="clear" w:color="auto" w:fill="FFFFFF" w:themeFill="background1"/>
          </w:tcPr>
          <w:p w14:paraId="703DF741" w14:textId="77777777" w:rsidR="009A7A9E" w:rsidRPr="00B73A48" w:rsidRDefault="009A7A9E">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7972D3D8" w14:textId="77777777" w:rsidR="009A7A9E" w:rsidRPr="00B73A48" w:rsidRDefault="004E6ED9">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Unallowable if not an incremental cost directly attributable to the project </w:t>
            </w:r>
          </w:p>
          <w:p w14:paraId="04CCD23A" w14:textId="77777777" w:rsidR="00390566" w:rsidRPr="00B73A48" w:rsidRDefault="00390566">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14436B68" w14:textId="0DDBB173" w:rsidR="00390566" w:rsidRPr="00B73A48" w:rsidRDefault="00390566">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General rental costs, such as </w:t>
            </w:r>
            <w:r w:rsidRPr="00B73A48">
              <w:rPr>
                <w:rFonts w:ascii="Franklin Gothic Book" w:eastAsia="Times New Roman" w:hAnsi="Franklin Gothic Book" w:cs="Calibri"/>
                <w:sz w:val="24"/>
                <w:szCs w:val="24"/>
              </w:rPr>
              <w:lastRenderedPageBreak/>
              <w:t>allocation of preexisting office space, are indirect costs and unallowable</w:t>
            </w:r>
          </w:p>
        </w:tc>
      </w:tr>
      <w:tr w:rsidR="0066691C" w:rsidRPr="00D37506" w14:paraId="031DA106" w14:textId="77777777" w:rsidTr="00C5341A">
        <w:trPr>
          <w:trHeight w:val="1365"/>
        </w:trPr>
        <w:tc>
          <w:tcPr>
            <w:tcW w:w="2565"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1B765AE3" w14:textId="76D25DF2" w:rsidR="0066691C" w:rsidRPr="00B73A48"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lastRenderedPageBreak/>
              <w:t>Research</w:t>
            </w:r>
            <w:r w:rsidR="00B55282" w:rsidRPr="00B73A48">
              <w:rPr>
                <w:rFonts w:ascii="Franklin Gothic Book" w:eastAsia="Times New Roman" w:hAnsi="Franklin Gothic Book" w:cs="Calibri"/>
                <w:b/>
                <w:bCs/>
                <w:sz w:val="24"/>
                <w:szCs w:val="24"/>
              </w:rPr>
              <w:t>/</w:t>
            </w:r>
            <w:r w:rsidR="00BE42DB" w:rsidRPr="00B73A48">
              <w:rPr>
                <w:rFonts w:ascii="Franklin Gothic Book" w:eastAsia="Times New Roman" w:hAnsi="Franklin Gothic Book" w:cs="Calibri"/>
                <w:b/>
                <w:bCs/>
                <w:sz w:val="24"/>
                <w:szCs w:val="24"/>
              </w:rPr>
              <w:t>Participant Incentives</w:t>
            </w:r>
          </w:p>
        </w:tc>
        <w:tc>
          <w:tcPr>
            <w:tcW w:w="3707" w:type="dxa"/>
            <w:tcBorders>
              <w:top w:val="nil"/>
              <w:left w:val="nil"/>
              <w:bottom w:val="single" w:sz="4" w:space="0" w:color="auto"/>
              <w:right w:val="single" w:sz="8" w:space="0" w:color="auto"/>
            </w:tcBorders>
            <w:shd w:val="clear" w:color="auto" w:fill="D9D9D9" w:themeFill="background1" w:themeFillShade="D9"/>
            <w:vAlign w:val="center"/>
          </w:tcPr>
          <w:p w14:paraId="70FD7538" w14:textId="256675EC" w:rsidR="005D50EC" w:rsidRPr="00B73A48" w:rsidRDefault="005D50E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4226D637" w14:textId="4EFE3B54" w:rsidR="005D50EC" w:rsidRPr="00B73A48" w:rsidRDefault="00117E33">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P</w:t>
            </w:r>
            <w:r w:rsidR="005D50EC" w:rsidRPr="00B73A48">
              <w:rPr>
                <w:rFonts w:ascii="Franklin Gothic Book" w:eastAsia="Times New Roman" w:hAnsi="Franklin Gothic Book" w:cs="Calibri"/>
                <w:sz w:val="24"/>
                <w:szCs w:val="24"/>
              </w:rPr>
              <w:t xml:space="preserve">ayments to individuals who participate occasionally in </w:t>
            </w:r>
            <w:r w:rsidRPr="00B73A48">
              <w:rPr>
                <w:rFonts w:ascii="Franklin Gothic Book" w:eastAsia="Times New Roman" w:hAnsi="Franklin Gothic Book" w:cs="Calibri"/>
                <w:sz w:val="24"/>
                <w:szCs w:val="24"/>
              </w:rPr>
              <w:t xml:space="preserve">project specific </w:t>
            </w:r>
            <w:r w:rsidR="005D50EC" w:rsidRPr="00B73A48">
              <w:rPr>
                <w:rFonts w:ascii="Franklin Gothic Book" w:eastAsia="Times New Roman" w:hAnsi="Franklin Gothic Book" w:cs="Calibri"/>
                <w:sz w:val="24"/>
                <w:szCs w:val="24"/>
              </w:rPr>
              <w:t>research, education, or community-based programs. This may include compensation to, or on behalf of, participants or trainees (but not employees) in connection with official meetings, training</w:t>
            </w:r>
            <w:r w:rsidRPr="00B73A48">
              <w:rPr>
                <w:rFonts w:ascii="Franklin Gothic Book" w:eastAsia="Times New Roman" w:hAnsi="Franklin Gothic Book" w:cs="Calibri"/>
                <w:sz w:val="24"/>
                <w:szCs w:val="24"/>
              </w:rPr>
              <w:t>,</w:t>
            </w:r>
            <w:r w:rsidR="005D50EC" w:rsidRPr="00B73A48">
              <w:rPr>
                <w:rFonts w:ascii="Franklin Gothic Book" w:eastAsia="Times New Roman" w:hAnsi="Franklin Gothic Book" w:cs="Calibri"/>
                <w:sz w:val="24"/>
                <w:szCs w:val="24"/>
              </w:rPr>
              <w:t xml:space="preserve"> research </w:t>
            </w:r>
            <w:r w:rsidRPr="00B73A48">
              <w:rPr>
                <w:rFonts w:ascii="Franklin Gothic Book" w:eastAsia="Times New Roman" w:hAnsi="Franklin Gothic Book" w:cs="Calibri"/>
                <w:sz w:val="24"/>
                <w:szCs w:val="24"/>
              </w:rPr>
              <w:t>activities, etc.</w:t>
            </w:r>
            <w:r w:rsidR="005D50EC" w:rsidRPr="00B73A48">
              <w:rPr>
                <w:rFonts w:ascii="Franklin Gothic Book" w:eastAsia="Times New Roman" w:hAnsi="Franklin Gothic Book" w:cs="Calibri"/>
                <w:sz w:val="24"/>
                <w:szCs w:val="24"/>
              </w:rPr>
              <w:t xml:space="preserve"> </w:t>
            </w:r>
          </w:p>
          <w:p w14:paraId="66F4C6C2" w14:textId="77777777" w:rsidR="005D50EC" w:rsidRPr="00B73A48" w:rsidRDefault="005D50E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 </w:t>
            </w:r>
          </w:p>
          <w:p w14:paraId="26898777" w14:textId="5954443A" w:rsidR="005D50EC" w:rsidRPr="00B73A48" w:rsidRDefault="005D50E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c>
          <w:tcPr>
            <w:tcW w:w="3240" w:type="dxa"/>
            <w:tcBorders>
              <w:top w:val="nil"/>
              <w:left w:val="nil"/>
              <w:bottom w:val="single" w:sz="4" w:space="0" w:color="auto"/>
              <w:right w:val="single" w:sz="8" w:space="0" w:color="auto"/>
            </w:tcBorders>
            <w:shd w:val="clear" w:color="auto" w:fill="D9D9D9" w:themeFill="background1" w:themeFillShade="D9"/>
          </w:tcPr>
          <w:p w14:paraId="051EA146" w14:textId="4ED9041D" w:rsidR="0066691C" w:rsidRPr="00B73A48"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r>
      <w:tr w:rsidR="00AB0872" w:rsidRPr="00D37506" w14:paraId="19CDAD7E" w14:textId="77777777" w:rsidTr="009604F1">
        <w:trPr>
          <w:trHeight w:val="1365"/>
        </w:trPr>
        <w:tc>
          <w:tcPr>
            <w:tcW w:w="256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6D88A052" w14:textId="3C56F49B"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t>Salaries and Fringe Benefit – Program Personnel</w:t>
            </w:r>
          </w:p>
        </w:tc>
        <w:tc>
          <w:tcPr>
            <w:tcW w:w="3707" w:type="dxa"/>
            <w:tcBorders>
              <w:top w:val="single" w:sz="4" w:space="0" w:color="auto"/>
              <w:left w:val="nil"/>
              <w:bottom w:val="single" w:sz="4" w:space="0" w:color="auto"/>
              <w:right w:val="single" w:sz="8" w:space="0" w:color="auto"/>
            </w:tcBorders>
            <w:shd w:val="clear" w:color="auto" w:fill="FFFFFF" w:themeFill="background1"/>
            <w:vAlign w:val="center"/>
          </w:tcPr>
          <w:p w14:paraId="2D7B6DE4" w14:textId="6EF2A796"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Personnel performing project-specific work based on the percentage of effort devoted by the employee</w:t>
            </w:r>
          </w:p>
        </w:tc>
        <w:tc>
          <w:tcPr>
            <w:tcW w:w="3240" w:type="dxa"/>
            <w:tcBorders>
              <w:top w:val="single" w:sz="4" w:space="0" w:color="auto"/>
              <w:left w:val="nil"/>
              <w:bottom w:val="single" w:sz="4" w:space="0" w:color="auto"/>
              <w:right w:val="single" w:sz="8" w:space="0" w:color="auto"/>
            </w:tcBorders>
            <w:shd w:val="clear" w:color="auto" w:fill="FFFFFF" w:themeFill="background1"/>
          </w:tcPr>
          <w:p w14:paraId="7333804B" w14:textId="6E14180E" w:rsidR="00AB0872" w:rsidRPr="00B73A48"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Medical or non-medical leaves of absence should not be supported by AHW funds</w:t>
            </w:r>
          </w:p>
        </w:tc>
      </w:tr>
      <w:tr w:rsidR="003C421B" w:rsidRPr="00D37506" w14:paraId="7741F4CB" w14:textId="77777777" w:rsidTr="00C5341A">
        <w:trPr>
          <w:trHeight w:val="1365"/>
        </w:trPr>
        <w:tc>
          <w:tcPr>
            <w:tcW w:w="2565"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71970141" w14:textId="6371ECEB" w:rsidR="003C421B" w:rsidRPr="00B73A48" w:rsidRDefault="003C421B">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t>Service Agreements/Vendor Contracts</w:t>
            </w:r>
          </w:p>
        </w:tc>
        <w:tc>
          <w:tcPr>
            <w:tcW w:w="3707" w:type="dxa"/>
            <w:tcBorders>
              <w:top w:val="nil"/>
              <w:left w:val="nil"/>
              <w:bottom w:val="single" w:sz="4" w:space="0" w:color="auto"/>
              <w:right w:val="single" w:sz="8" w:space="0" w:color="auto"/>
            </w:tcBorders>
            <w:shd w:val="clear" w:color="auto" w:fill="D9D9D9" w:themeFill="background1" w:themeFillShade="D9"/>
            <w:vAlign w:val="center"/>
          </w:tcPr>
          <w:p w14:paraId="49181366" w14:textId="222F279A" w:rsidR="003C421B" w:rsidRPr="00B73A48" w:rsidRDefault="003C421B">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Agreements/contracts with </w:t>
            </w:r>
            <w:r w:rsidR="00446840" w:rsidRPr="00C4130A">
              <w:rPr>
                <w:rFonts w:ascii="Franklin Gothic Book" w:eastAsia="Times New Roman" w:hAnsi="Franklin Gothic Book" w:cs="Calibri"/>
                <w:sz w:val="24"/>
                <w:szCs w:val="24"/>
              </w:rPr>
              <w:t xml:space="preserve">3rd </w:t>
            </w:r>
            <w:r w:rsidRPr="00B73A48">
              <w:rPr>
                <w:rFonts w:ascii="Franklin Gothic Book" w:eastAsia="Times New Roman" w:hAnsi="Franklin Gothic Book" w:cs="Calibri"/>
                <w:sz w:val="24"/>
                <w:szCs w:val="24"/>
              </w:rPr>
              <w:t xml:space="preserve">parties to conduct a </w:t>
            </w:r>
            <w:r w:rsidR="00C03206" w:rsidRPr="00B73A48">
              <w:rPr>
                <w:rFonts w:ascii="Franklin Gothic Book" w:eastAsia="Times New Roman" w:hAnsi="Franklin Gothic Book" w:cs="Calibri"/>
                <w:sz w:val="24"/>
                <w:szCs w:val="24"/>
              </w:rPr>
              <w:t xml:space="preserve">service or </w:t>
            </w:r>
            <w:r w:rsidRPr="00B73A48">
              <w:rPr>
                <w:rFonts w:ascii="Franklin Gothic Book" w:eastAsia="Times New Roman" w:hAnsi="Franklin Gothic Book" w:cs="Calibri"/>
                <w:sz w:val="24"/>
                <w:szCs w:val="24"/>
              </w:rPr>
              <w:t>specific scope of work.</w:t>
            </w:r>
          </w:p>
        </w:tc>
        <w:tc>
          <w:tcPr>
            <w:tcW w:w="3240" w:type="dxa"/>
            <w:tcBorders>
              <w:top w:val="nil"/>
              <w:left w:val="nil"/>
              <w:bottom w:val="single" w:sz="4" w:space="0" w:color="auto"/>
              <w:right w:val="single" w:sz="8" w:space="0" w:color="auto"/>
            </w:tcBorders>
            <w:shd w:val="clear" w:color="auto" w:fill="D9D9D9" w:themeFill="background1" w:themeFillShade="D9"/>
          </w:tcPr>
          <w:p w14:paraId="3BAD0267" w14:textId="74354C0B" w:rsidR="003C421B" w:rsidRPr="00B73A48" w:rsidRDefault="003C421B">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Must provide </w:t>
            </w:r>
            <w:r w:rsidR="00AE174E" w:rsidRPr="00B73A48">
              <w:rPr>
                <w:rFonts w:ascii="Franklin Gothic Book" w:eastAsia="Times New Roman" w:hAnsi="Franklin Gothic Book" w:cs="Calibri"/>
                <w:sz w:val="24"/>
                <w:szCs w:val="24"/>
              </w:rPr>
              <w:t xml:space="preserve">cost </w:t>
            </w:r>
            <w:r w:rsidRPr="00B73A48">
              <w:rPr>
                <w:rFonts w:ascii="Franklin Gothic Book" w:eastAsia="Times New Roman" w:hAnsi="Franklin Gothic Book" w:cs="Calibri"/>
                <w:sz w:val="24"/>
                <w:szCs w:val="24"/>
              </w:rPr>
              <w:t>methodology (rate/hours</w:t>
            </w:r>
            <w:r w:rsidR="00AE174E" w:rsidRPr="00B73A48">
              <w:rPr>
                <w:rFonts w:ascii="Franklin Gothic Book" w:eastAsia="Times New Roman" w:hAnsi="Franklin Gothic Book" w:cs="Calibri"/>
                <w:sz w:val="24"/>
                <w:szCs w:val="24"/>
              </w:rPr>
              <w:t>/rationale).</w:t>
            </w:r>
          </w:p>
        </w:tc>
      </w:tr>
      <w:tr w:rsidR="00C03206" w:rsidRPr="00D37506" w14:paraId="6E6994F5" w14:textId="77777777" w:rsidTr="00FC6466">
        <w:trPr>
          <w:trHeight w:val="1365"/>
        </w:trPr>
        <w:tc>
          <w:tcPr>
            <w:tcW w:w="2565" w:type="dxa"/>
            <w:tcBorders>
              <w:top w:val="nil"/>
              <w:left w:val="single" w:sz="8" w:space="0" w:color="auto"/>
              <w:bottom w:val="single" w:sz="4" w:space="0" w:color="auto"/>
              <w:right w:val="single" w:sz="8" w:space="0" w:color="auto"/>
            </w:tcBorders>
            <w:shd w:val="clear" w:color="auto" w:fill="FFFFFF" w:themeFill="background1"/>
            <w:vAlign w:val="center"/>
          </w:tcPr>
          <w:p w14:paraId="4285B356" w14:textId="6E294BBE" w:rsidR="00C03206" w:rsidRPr="00C4130A" w:rsidRDefault="00C03206">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C4130A">
              <w:rPr>
                <w:rFonts w:ascii="Franklin Gothic Book" w:eastAsia="Times New Roman" w:hAnsi="Franklin Gothic Book" w:cs="Calibri"/>
                <w:b/>
                <w:bCs/>
                <w:sz w:val="24"/>
                <w:szCs w:val="24"/>
              </w:rPr>
              <w:t>Subcontracts</w:t>
            </w:r>
          </w:p>
        </w:tc>
        <w:tc>
          <w:tcPr>
            <w:tcW w:w="3707" w:type="dxa"/>
            <w:tcBorders>
              <w:top w:val="nil"/>
              <w:left w:val="nil"/>
              <w:bottom w:val="single" w:sz="4" w:space="0" w:color="auto"/>
              <w:right w:val="single" w:sz="8" w:space="0" w:color="auto"/>
            </w:tcBorders>
            <w:shd w:val="clear" w:color="auto" w:fill="FFFFFF" w:themeFill="background1"/>
            <w:vAlign w:val="center"/>
          </w:tcPr>
          <w:p w14:paraId="69FCAF27" w14:textId="148D4B36" w:rsidR="00C03206" w:rsidRPr="00C4130A" w:rsidRDefault="00C03206">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C4130A">
              <w:rPr>
                <w:rFonts w:ascii="Franklin Gothic Book" w:eastAsia="Times New Roman" w:hAnsi="Franklin Gothic Book" w:cs="Calibri"/>
                <w:sz w:val="24"/>
                <w:szCs w:val="24"/>
              </w:rPr>
              <w:t>Subcontracts with 3rd parties to conduct a scientific or programmatic aspect of the award.</w:t>
            </w:r>
          </w:p>
          <w:p w14:paraId="1E3DCA87" w14:textId="0E8E825B" w:rsidR="00C03206" w:rsidRPr="00C4130A" w:rsidRDefault="00C03206">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p>
        </w:tc>
        <w:tc>
          <w:tcPr>
            <w:tcW w:w="3240" w:type="dxa"/>
            <w:tcBorders>
              <w:top w:val="nil"/>
              <w:left w:val="nil"/>
              <w:bottom w:val="single" w:sz="4" w:space="0" w:color="auto"/>
              <w:right w:val="single" w:sz="8" w:space="0" w:color="auto"/>
            </w:tcBorders>
            <w:shd w:val="clear" w:color="auto" w:fill="FFFFFF" w:themeFill="background1"/>
          </w:tcPr>
          <w:p w14:paraId="438F602E" w14:textId="30CDE462" w:rsidR="00C03206" w:rsidRPr="00C4130A" w:rsidRDefault="00C03206">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C4130A">
              <w:rPr>
                <w:rFonts w:ascii="Franklin Gothic Book" w:eastAsia="Times New Roman" w:hAnsi="Franklin Gothic Book" w:cs="Calibri"/>
                <w:sz w:val="24"/>
                <w:szCs w:val="24"/>
              </w:rPr>
              <w:t>Must provide a cost breakdown.</w:t>
            </w:r>
          </w:p>
        </w:tc>
      </w:tr>
      <w:tr w:rsidR="00B65CDA" w:rsidRPr="00D37506" w14:paraId="6A68D682" w14:textId="77777777" w:rsidTr="00C5341A">
        <w:trPr>
          <w:trHeight w:val="1365"/>
        </w:trPr>
        <w:tc>
          <w:tcPr>
            <w:tcW w:w="2565"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44F6B1F4" w14:textId="72DD94DF" w:rsidR="00B65CDA" w:rsidRPr="00B73A48" w:rsidRDefault="00B65CDA">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t xml:space="preserve">Supplies – </w:t>
            </w:r>
            <w:r w:rsidR="005E22E8" w:rsidRPr="00B73A48">
              <w:rPr>
                <w:rFonts w:ascii="Franklin Gothic Book" w:eastAsia="Times New Roman" w:hAnsi="Franklin Gothic Book" w:cs="Calibri"/>
                <w:b/>
                <w:bCs/>
                <w:sz w:val="24"/>
                <w:szCs w:val="24"/>
              </w:rPr>
              <w:t>Electronics</w:t>
            </w:r>
            <w:r w:rsidR="005E22E8">
              <w:rPr>
                <w:rFonts w:ascii="Franklin Gothic Book" w:eastAsia="Times New Roman" w:hAnsi="Franklin Gothic Book" w:cs="Calibri"/>
                <w:b/>
                <w:bCs/>
                <w:sz w:val="24"/>
                <w:szCs w:val="24"/>
              </w:rPr>
              <w:t>,</w:t>
            </w:r>
            <w:r w:rsidR="005E22E8" w:rsidRPr="003577BE">
              <w:rPr>
                <w:rFonts w:ascii="Franklin Gothic Book" w:eastAsia="Times New Roman" w:hAnsi="Franklin Gothic Book" w:cs="Calibri"/>
                <w:b/>
                <w:bCs/>
                <w:sz w:val="24"/>
                <w:szCs w:val="24"/>
              </w:rPr>
              <w:t xml:space="preserve"> Software</w:t>
            </w:r>
            <w:r w:rsidR="00B34FA3">
              <w:rPr>
                <w:rFonts w:ascii="Franklin Gothic Book" w:eastAsia="Times New Roman" w:hAnsi="Franklin Gothic Book" w:cs="Calibri"/>
                <w:b/>
                <w:bCs/>
                <w:sz w:val="24"/>
                <w:szCs w:val="24"/>
              </w:rPr>
              <w:t>, and Furnishings</w:t>
            </w:r>
          </w:p>
        </w:tc>
        <w:tc>
          <w:tcPr>
            <w:tcW w:w="3707" w:type="dxa"/>
            <w:tcBorders>
              <w:top w:val="nil"/>
              <w:left w:val="nil"/>
              <w:bottom w:val="single" w:sz="4" w:space="0" w:color="auto"/>
              <w:right w:val="single" w:sz="8" w:space="0" w:color="auto"/>
            </w:tcBorders>
            <w:shd w:val="clear" w:color="auto" w:fill="D9D9D9" w:themeFill="background1" w:themeFillShade="D9"/>
            <w:vAlign w:val="center"/>
          </w:tcPr>
          <w:p w14:paraId="4715B562" w14:textId="66AE19C4" w:rsidR="00B65CDA" w:rsidRPr="00B73A48" w:rsidRDefault="004E6ED9">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Project-related goods </w:t>
            </w:r>
            <w:r w:rsidR="00B65CDA" w:rsidRPr="00B73A48">
              <w:rPr>
                <w:rFonts w:ascii="Franklin Gothic Book" w:eastAsia="Times New Roman" w:hAnsi="Franklin Gothic Book" w:cs="Calibri"/>
                <w:sz w:val="24"/>
                <w:szCs w:val="24"/>
              </w:rPr>
              <w:t>with a unit cost of $</w:t>
            </w:r>
            <w:r w:rsidR="00122E2B" w:rsidRPr="00B73A48">
              <w:rPr>
                <w:rFonts w:ascii="Franklin Gothic Book" w:eastAsia="Times New Roman" w:hAnsi="Franklin Gothic Book" w:cs="Calibri"/>
                <w:sz w:val="24"/>
                <w:szCs w:val="24"/>
              </w:rPr>
              <w:t>5</w:t>
            </w:r>
            <w:r w:rsidR="00B65CDA" w:rsidRPr="00B73A48">
              <w:rPr>
                <w:rFonts w:ascii="Franklin Gothic Book" w:eastAsia="Times New Roman" w:hAnsi="Franklin Gothic Book" w:cs="Calibri"/>
                <w:sz w:val="24"/>
                <w:szCs w:val="24"/>
              </w:rPr>
              <w:t>,000 or less, including computers, office equipment,</w:t>
            </w:r>
            <w:r w:rsidRPr="00B73A48">
              <w:rPr>
                <w:rFonts w:ascii="Franklin Gothic Book" w:eastAsia="Times New Roman" w:hAnsi="Franklin Gothic Book" w:cs="Calibri"/>
                <w:sz w:val="24"/>
                <w:szCs w:val="24"/>
              </w:rPr>
              <w:t xml:space="preserve"> software</w:t>
            </w:r>
            <w:r w:rsidR="00B65CDA" w:rsidRPr="00B73A48">
              <w:rPr>
                <w:rFonts w:ascii="Franklin Gothic Book" w:eastAsia="Times New Roman" w:hAnsi="Franklin Gothic Book" w:cs="Calibri"/>
                <w:sz w:val="24"/>
                <w:szCs w:val="24"/>
              </w:rPr>
              <w:t xml:space="preserve"> licenses</w:t>
            </w:r>
            <w:r w:rsidR="00B34FA3">
              <w:rPr>
                <w:rFonts w:ascii="Franklin Gothic Book" w:eastAsia="Times New Roman" w:hAnsi="Franklin Gothic Book" w:cs="Calibri"/>
                <w:sz w:val="24"/>
                <w:szCs w:val="24"/>
              </w:rPr>
              <w:t xml:space="preserve">, </w:t>
            </w:r>
            <w:r w:rsidR="00F56EF3">
              <w:rPr>
                <w:rFonts w:ascii="Franklin Gothic Book" w:eastAsia="Times New Roman" w:hAnsi="Franklin Gothic Book" w:cs="Calibri"/>
                <w:sz w:val="24"/>
                <w:szCs w:val="24"/>
              </w:rPr>
              <w:t xml:space="preserve">furnishings, </w:t>
            </w:r>
            <w:r w:rsidR="00F56EF3" w:rsidRPr="00B73A48">
              <w:rPr>
                <w:rFonts w:ascii="Franklin Gothic Book" w:eastAsia="Times New Roman" w:hAnsi="Franklin Gothic Book" w:cs="Calibri"/>
                <w:sz w:val="24"/>
                <w:szCs w:val="24"/>
              </w:rPr>
              <w:t>etc.</w:t>
            </w:r>
          </w:p>
        </w:tc>
        <w:tc>
          <w:tcPr>
            <w:tcW w:w="3240" w:type="dxa"/>
            <w:tcBorders>
              <w:top w:val="nil"/>
              <w:left w:val="nil"/>
              <w:bottom w:val="single" w:sz="4" w:space="0" w:color="auto"/>
              <w:right w:val="single" w:sz="8" w:space="0" w:color="auto"/>
            </w:tcBorders>
            <w:shd w:val="clear" w:color="auto" w:fill="D9D9D9" w:themeFill="background1" w:themeFillShade="D9"/>
          </w:tcPr>
          <w:p w14:paraId="26DC3EFA" w14:textId="019FDD4E" w:rsidR="00B65CDA" w:rsidRPr="00B73A48" w:rsidRDefault="00B5528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*See prorating policy on page </w:t>
            </w:r>
            <w:r w:rsidR="000478B4" w:rsidRPr="00B73A48">
              <w:rPr>
                <w:rFonts w:ascii="Franklin Gothic Book" w:eastAsia="Times New Roman" w:hAnsi="Franklin Gothic Book" w:cs="Calibri"/>
                <w:sz w:val="24"/>
                <w:szCs w:val="24"/>
              </w:rPr>
              <w:t>2</w:t>
            </w:r>
            <w:r w:rsidRPr="00B73A48">
              <w:rPr>
                <w:rFonts w:ascii="Franklin Gothic Book" w:eastAsia="Times New Roman" w:hAnsi="Franklin Gothic Book" w:cs="Calibri"/>
                <w:sz w:val="24"/>
                <w:szCs w:val="24"/>
              </w:rPr>
              <w:t xml:space="preserve"> of this document</w:t>
            </w:r>
          </w:p>
        </w:tc>
      </w:tr>
      <w:tr w:rsidR="0084691E" w:rsidRPr="00D37506" w14:paraId="4B4F182D" w14:textId="77777777" w:rsidTr="00FC6466">
        <w:trPr>
          <w:trHeight w:val="2555"/>
        </w:trPr>
        <w:tc>
          <w:tcPr>
            <w:tcW w:w="2565" w:type="dxa"/>
            <w:tcBorders>
              <w:top w:val="nil"/>
              <w:left w:val="single" w:sz="8" w:space="0" w:color="auto"/>
              <w:bottom w:val="single" w:sz="4" w:space="0" w:color="auto"/>
              <w:right w:val="single" w:sz="8" w:space="0" w:color="auto"/>
            </w:tcBorders>
            <w:shd w:val="clear" w:color="auto" w:fill="FFFFFF" w:themeFill="background1"/>
            <w:vAlign w:val="center"/>
          </w:tcPr>
          <w:p w14:paraId="70AEE7C1" w14:textId="72C4B746" w:rsidR="0084691E" w:rsidRPr="00B73A48" w:rsidRDefault="0084691E">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t>Supplies</w:t>
            </w:r>
            <w:r w:rsidR="009A7A9E" w:rsidRPr="00B73A48">
              <w:rPr>
                <w:rFonts w:ascii="Franklin Gothic Book" w:eastAsia="Times New Roman" w:hAnsi="Franklin Gothic Book" w:cs="Calibri"/>
                <w:b/>
                <w:bCs/>
                <w:sz w:val="24"/>
                <w:szCs w:val="24"/>
              </w:rPr>
              <w:t xml:space="preserve"> – </w:t>
            </w:r>
            <w:r w:rsidRPr="00B73A48">
              <w:rPr>
                <w:rFonts w:ascii="Franklin Gothic Book" w:eastAsia="Times New Roman" w:hAnsi="Franklin Gothic Book" w:cs="Calibri"/>
                <w:b/>
                <w:bCs/>
                <w:sz w:val="24"/>
                <w:szCs w:val="24"/>
              </w:rPr>
              <w:t>Office Supplies</w:t>
            </w:r>
          </w:p>
        </w:tc>
        <w:tc>
          <w:tcPr>
            <w:tcW w:w="3707" w:type="dxa"/>
            <w:tcBorders>
              <w:top w:val="nil"/>
              <w:left w:val="nil"/>
              <w:bottom w:val="single" w:sz="4" w:space="0" w:color="auto"/>
              <w:right w:val="single" w:sz="8" w:space="0" w:color="auto"/>
            </w:tcBorders>
            <w:shd w:val="clear" w:color="auto" w:fill="FFFFFF" w:themeFill="background1"/>
            <w:vAlign w:val="center"/>
          </w:tcPr>
          <w:p w14:paraId="6367BBE3" w14:textId="76633390" w:rsidR="00A90E31" w:rsidRDefault="0084691E">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Project-related office supplies maintained for general use by all staff for use on the project</w:t>
            </w:r>
            <w:r w:rsidR="00F56EF3">
              <w:rPr>
                <w:rFonts w:ascii="Franklin Gothic Book" w:eastAsia="Times New Roman" w:hAnsi="Franklin Gothic Book" w:cs="Calibri"/>
                <w:sz w:val="24"/>
                <w:szCs w:val="24"/>
              </w:rPr>
              <w:t>.</w:t>
            </w:r>
          </w:p>
          <w:p w14:paraId="54F58757" w14:textId="27005103" w:rsidR="00F56EF3" w:rsidRPr="00B73A48" w:rsidRDefault="00F56EF3">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F56EF3">
              <w:rPr>
                <w:rFonts w:ascii="Franklin Gothic Book" w:eastAsia="Times New Roman" w:hAnsi="Franklin Gothic Book" w:cs="Calibri"/>
                <w:sz w:val="24"/>
                <w:szCs w:val="24"/>
              </w:rPr>
              <w:t>Including, but not limited to, pens, pencils, writing paper, file folders, letterhead, envelopes, staples, staplers, rulers, etc.</w:t>
            </w:r>
          </w:p>
          <w:p w14:paraId="00FDD8E5" w14:textId="0664729F" w:rsidR="0084691E" w:rsidRPr="00B73A48" w:rsidRDefault="0084691E">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c>
          <w:tcPr>
            <w:tcW w:w="3240" w:type="dxa"/>
            <w:tcBorders>
              <w:top w:val="nil"/>
              <w:left w:val="nil"/>
              <w:bottom w:val="single" w:sz="4" w:space="0" w:color="auto"/>
              <w:right w:val="single" w:sz="8" w:space="0" w:color="auto"/>
            </w:tcBorders>
            <w:shd w:val="clear" w:color="auto" w:fill="FFFFFF" w:themeFill="background1"/>
          </w:tcPr>
          <w:p w14:paraId="25766D62" w14:textId="60C393D1" w:rsidR="00F848CB" w:rsidRPr="00B73A48" w:rsidRDefault="00F848CB">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General office supplies are considered indirect costs, so unless specifically budgeted, general office supplies should not be charged to the grant. Budgets must specifically list supply items </w:t>
            </w:r>
            <w:proofErr w:type="gramStart"/>
            <w:r w:rsidRPr="00B73A48">
              <w:rPr>
                <w:rFonts w:ascii="Franklin Gothic Book" w:eastAsia="Times New Roman" w:hAnsi="Franklin Gothic Book" w:cs="Calibri"/>
                <w:sz w:val="24"/>
                <w:szCs w:val="24"/>
              </w:rPr>
              <w:t>in order for</w:t>
            </w:r>
            <w:proofErr w:type="gramEnd"/>
            <w:r w:rsidRPr="00B73A48">
              <w:rPr>
                <w:rFonts w:ascii="Franklin Gothic Book" w:eastAsia="Times New Roman" w:hAnsi="Franklin Gothic Book" w:cs="Calibri"/>
                <w:sz w:val="24"/>
                <w:szCs w:val="24"/>
              </w:rPr>
              <w:t xml:space="preserve"> them to be appropriate on a grant.</w:t>
            </w:r>
          </w:p>
        </w:tc>
      </w:tr>
      <w:tr w:rsidR="0066691C" w:rsidRPr="00D37506" w14:paraId="1CE965F0" w14:textId="77777777" w:rsidTr="00C5341A">
        <w:trPr>
          <w:trHeight w:val="1365"/>
        </w:trPr>
        <w:tc>
          <w:tcPr>
            <w:tcW w:w="2565"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22B70533" w14:textId="28662D70" w:rsidR="0066691C" w:rsidRPr="00B73A48"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lastRenderedPageBreak/>
              <w:t>Telephone, Fax Lines</w:t>
            </w:r>
            <w:r w:rsidR="006A285E" w:rsidRPr="00B73A48">
              <w:rPr>
                <w:rFonts w:ascii="Franklin Gothic Book" w:eastAsia="Times New Roman" w:hAnsi="Franklin Gothic Book" w:cs="Calibri"/>
                <w:b/>
                <w:bCs/>
                <w:sz w:val="24"/>
                <w:szCs w:val="24"/>
              </w:rPr>
              <w:t>, Internet Service,</w:t>
            </w:r>
            <w:r w:rsidRPr="00B73A48">
              <w:rPr>
                <w:rFonts w:ascii="Franklin Gothic Book" w:eastAsia="Times New Roman" w:hAnsi="Franklin Gothic Book" w:cs="Calibri"/>
                <w:b/>
                <w:bCs/>
                <w:sz w:val="24"/>
                <w:szCs w:val="24"/>
              </w:rPr>
              <w:t xml:space="preserve"> and Pagers</w:t>
            </w:r>
          </w:p>
        </w:tc>
        <w:tc>
          <w:tcPr>
            <w:tcW w:w="3707" w:type="dxa"/>
            <w:tcBorders>
              <w:top w:val="nil"/>
              <w:left w:val="nil"/>
              <w:bottom w:val="single" w:sz="4" w:space="0" w:color="auto"/>
              <w:right w:val="single" w:sz="8" w:space="0" w:color="auto"/>
            </w:tcBorders>
            <w:shd w:val="clear" w:color="auto" w:fill="D9D9D9" w:themeFill="background1" w:themeFillShade="D9"/>
            <w:vAlign w:val="center"/>
          </w:tcPr>
          <w:p w14:paraId="624F3AD6" w14:textId="6256D6B0" w:rsidR="0066691C" w:rsidRPr="00B73A48" w:rsidRDefault="00966F2E">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Pr>
                <w:rFonts w:ascii="Franklin Gothic Book" w:eastAsia="Times New Roman" w:hAnsi="Franklin Gothic Book" w:cs="Calibri"/>
                <w:sz w:val="24"/>
                <w:szCs w:val="24"/>
              </w:rPr>
              <w:t>Incremental e</w:t>
            </w:r>
            <w:r w:rsidR="0066691C" w:rsidRPr="00B73A48">
              <w:rPr>
                <w:rFonts w:ascii="Franklin Gothic Book" w:eastAsia="Times New Roman" w:hAnsi="Franklin Gothic Book" w:cs="Calibri"/>
                <w:sz w:val="24"/>
                <w:szCs w:val="24"/>
              </w:rPr>
              <w:t>quipment and service costs for telephones, fax service</w:t>
            </w:r>
            <w:r w:rsidR="006A285E" w:rsidRPr="00B73A48">
              <w:rPr>
                <w:rFonts w:ascii="Franklin Gothic Book" w:eastAsia="Times New Roman" w:hAnsi="Franklin Gothic Book" w:cs="Calibri"/>
                <w:sz w:val="24"/>
                <w:szCs w:val="24"/>
              </w:rPr>
              <w:t>, internet service,</w:t>
            </w:r>
            <w:r w:rsidR="0066691C" w:rsidRPr="00B73A48">
              <w:rPr>
                <w:rFonts w:ascii="Franklin Gothic Book" w:eastAsia="Times New Roman" w:hAnsi="Franklin Gothic Book" w:cs="Calibri"/>
                <w:sz w:val="24"/>
                <w:szCs w:val="24"/>
              </w:rPr>
              <w:t xml:space="preserve"> and pagers</w:t>
            </w:r>
            <w:r w:rsidR="00B23EFC" w:rsidRPr="00B73A48">
              <w:rPr>
                <w:rFonts w:ascii="Franklin Gothic Book" w:eastAsia="Times New Roman" w:hAnsi="Franklin Gothic Book" w:cs="Calibri"/>
                <w:sz w:val="24"/>
                <w:szCs w:val="24"/>
              </w:rPr>
              <w:t xml:space="preserve"> specifically related to the project</w:t>
            </w:r>
          </w:p>
        </w:tc>
        <w:tc>
          <w:tcPr>
            <w:tcW w:w="3240" w:type="dxa"/>
            <w:tcBorders>
              <w:top w:val="nil"/>
              <w:left w:val="nil"/>
              <w:bottom w:val="single" w:sz="4" w:space="0" w:color="auto"/>
              <w:right w:val="single" w:sz="8" w:space="0" w:color="auto"/>
            </w:tcBorders>
            <w:shd w:val="clear" w:color="auto" w:fill="D9D9D9" w:themeFill="background1" w:themeFillShade="D9"/>
          </w:tcPr>
          <w:p w14:paraId="1CC3E611" w14:textId="77777777" w:rsidR="00C17D7F" w:rsidRPr="00B73A48" w:rsidRDefault="00B23EF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Unallowable if benefits education or research in general or an individual in general</w:t>
            </w:r>
          </w:p>
          <w:p w14:paraId="0508E170" w14:textId="77777777" w:rsidR="00C17D7F" w:rsidRPr="00B73A48" w:rsidRDefault="00C17D7F">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7DE20CA1" w14:textId="261A369A" w:rsidR="0066691C" w:rsidRPr="00B73A48" w:rsidRDefault="00B23EF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Must be an incremental cost directly attributable to </w:t>
            </w:r>
            <w:r w:rsidR="00F56EF3">
              <w:rPr>
                <w:rFonts w:ascii="Franklin Gothic Book" w:eastAsia="Times New Roman" w:hAnsi="Franklin Gothic Book" w:cs="Calibri"/>
                <w:sz w:val="24"/>
                <w:szCs w:val="24"/>
              </w:rPr>
              <w:t xml:space="preserve">the </w:t>
            </w:r>
            <w:r w:rsidRPr="00B73A48">
              <w:rPr>
                <w:rFonts w:ascii="Franklin Gothic Book" w:eastAsia="Times New Roman" w:hAnsi="Franklin Gothic Book" w:cs="Calibri"/>
                <w:sz w:val="24"/>
                <w:szCs w:val="24"/>
              </w:rPr>
              <w:t>project</w:t>
            </w:r>
          </w:p>
          <w:p w14:paraId="14911543" w14:textId="5794ADF2" w:rsidR="00B23EFC" w:rsidRPr="00B73A48" w:rsidRDefault="00B23EF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r>
      <w:tr w:rsidR="0066691C" w:rsidRPr="00D37506" w14:paraId="7050BA61" w14:textId="77777777" w:rsidTr="00FC6466">
        <w:trPr>
          <w:trHeight w:val="1365"/>
        </w:trPr>
        <w:tc>
          <w:tcPr>
            <w:tcW w:w="2565" w:type="dxa"/>
            <w:tcBorders>
              <w:top w:val="nil"/>
              <w:left w:val="single" w:sz="8" w:space="0" w:color="auto"/>
              <w:bottom w:val="single" w:sz="4" w:space="0" w:color="auto"/>
              <w:right w:val="single" w:sz="8" w:space="0" w:color="auto"/>
            </w:tcBorders>
            <w:shd w:val="clear" w:color="auto" w:fill="FFFFFF" w:themeFill="background1"/>
            <w:vAlign w:val="center"/>
          </w:tcPr>
          <w:p w14:paraId="40F85D50" w14:textId="77777777" w:rsidR="0066691C" w:rsidRPr="00B73A48"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t>Travel</w:t>
            </w:r>
          </w:p>
        </w:tc>
        <w:tc>
          <w:tcPr>
            <w:tcW w:w="3707" w:type="dxa"/>
            <w:tcBorders>
              <w:top w:val="nil"/>
              <w:left w:val="nil"/>
              <w:bottom w:val="single" w:sz="4" w:space="0" w:color="auto"/>
              <w:right w:val="single" w:sz="8" w:space="0" w:color="auto"/>
            </w:tcBorders>
            <w:shd w:val="clear" w:color="auto" w:fill="FFFFFF" w:themeFill="background1"/>
            <w:vAlign w:val="center"/>
          </w:tcPr>
          <w:p w14:paraId="634FA751" w14:textId="77777777" w:rsidR="00B23EFC" w:rsidRPr="00B73A48"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Transportation, lodging, per diem and related costs, in accordance with MCW travel policy and/or the community partner’s travel policy</w:t>
            </w:r>
            <w:r w:rsidR="00B23EFC" w:rsidRPr="00B73A48">
              <w:rPr>
                <w:rFonts w:ascii="Franklin Gothic Book" w:eastAsia="Times New Roman" w:hAnsi="Franklin Gothic Book" w:cs="Calibri"/>
                <w:sz w:val="24"/>
                <w:szCs w:val="24"/>
              </w:rPr>
              <w:t xml:space="preserve"> that further the aims and objectives of the project </w:t>
            </w:r>
          </w:p>
          <w:p w14:paraId="13209796" w14:textId="70DBBD52" w:rsidR="0066691C" w:rsidRPr="00B73A48" w:rsidRDefault="0066691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c>
          <w:tcPr>
            <w:tcW w:w="3240" w:type="dxa"/>
            <w:tcBorders>
              <w:top w:val="nil"/>
              <w:left w:val="nil"/>
              <w:bottom w:val="single" w:sz="4" w:space="0" w:color="auto"/>
              <w:right w:val="single" w:sz="8" w:space="0" w:color="auto"/>
            </w:tcBorders>
            <w:shd w:val="clear" w:color="auto" w:fill="FFFFFF" w:themeFill="background1"/>
          </w:tcPr>
          <w:p w14:paraId="56612854" w14:textId="77777777" w:rsidR="0066691C" w:rsidRPr="00B73A48" w:rsidRDefault="00B23EFC">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Unallowable if general professional development expenses</w:t>
            </w:r>
          </w:p>
          <w:p w14:paraId="1981DC0B" w14:textId="77777777" w:rsidR="00F848CB" w:rsidRPr="00B73A48" w:rsidRDefault="00F848CB">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646420F1" w14:textId="67681D13" w:rsidR="00F848CB" w:rsidRPr="00B73A48" w:rsidRDefault="00BE42DB">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C</w:t>
            </w:r>
            <w:r w:rsidR="00F848CB" w:rsidRPr="00B73A48">
              <w:rPr>
                <w:rFonts w:ascii="Franklin Gothic Book" w:eastAsia="Times New Roman" w:hAnsi="Franklin Gothic Book" w:cs="Calibri"/>
                <w:sz w:val="24"/>
                <w:szCs w:val="24"/>
              </w:rPr>
              <w:t>annot pay for any travel or expenses associated with travel that occurs outside of the award period</w:t>
            </w:r>
            <w:r w:rsidR="00197326">
              <w:rPr>
                <w:rFonts w:ascii="Franklin Gothic Book" w:eastAsia="Times New Roman" w:hAnsi="Franklin Gothic Book" w:cs="Calibri"/>
                <w:sz w:val="24"/>
                <w:szCs w:val="24"/>
              </w:rPr>
              <w:t xml:space="preserve">.  </w:t>
            </w:r>
          </w:p>
        </w:tc>
      </w:tr>
      <w:tr w:rsidR="00C72E42" w:rsidRPr="00D37506" w14:paraId="5EB7D09E" w14:textId="77777777" w:rsidTr="00C5341A">
        <w:trPr>
          <w:trHeight w:val="1365"/>
        </w:trPr>
        <w:tc>
          <w:tcPr>
            <w:tcW w:w="2565"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3994700" w14:textId="5867ADF2" w:rsidR="00C72E42" w:rsidRPr="00B73A48" w:rsidRDefault="000612C0">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t>Tuition</w:t>
            </w:r>
          </w:p>
        </w:tc>
        <w:tc>
          <w:tcPr>
            <w:tcW w:w="3707"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6A45A224" w14:textId="003BF78D" w:rsidR="00C72E42" w:rsidRPr="00B73A48" w:rsidRDefault="000612C0">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Cost of classes at a non-MCW educational institution; AHW funds cannot be used to pay MCW tuition</w:t>
            </w:r>
          </w:p>
        </w:tc>
        <w:tc>
          <w:tcPr>
            <w:tcW w:w="3240" w:type="dxa"/>
            <w:tcBorders>
              <w:top w:val="single" w:sz="4" w:space="0" w:color="auto"/>
              <w:left w:val="nil"/>
              <w:bottom w:val="single" w:sz="4" w:space="0" w:color="auto"/>
              <w:right w:val="single" w:sz="8" w:space="0" w:color="auto"/>
            </w:tcBorders>
            <w:shd w:val="clear" w:color="auto" w:fill="D9D9D9" w:themeFill="background1" w:themeFillShade="D9"/>
          </w:tcPr>
          <w:p w14:paraId="74DA23DD" w14:textId="4120AAA6" w:rsidR="00472E3E" w:rsidRPr="00B73A48" w:rsidRDefault="000612C0">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Direct cost treatment must be specifically requested and justified in proposal or in an approved change request</w:t>
            </w:r>
            <w:r w:rsidR="00C17D7F" w:rsidRPr="00B73A48">
              <w:rPr>
                <w:rFonts w:ascii="Franklin Gothic Book" w:eastAsia="Times New Roman" w:hAnsi="Franklin Gothic Book" w:cs="Calibri"/>
                <w:sz w:val="24"/>
                <w:szCs w:val="24"/>
              </w:rPr>
              <w:t>;</w:t>
            </w:r>
            <w:r w:rsidRPr="00B73A48">
              <w:rPr>
                <w:rFonts w:ascii="Franklin Gothic Book" w:eastAsia="Times New Roman" w:hAnsi="Franklin Gothic Book" w:cs="Calibri"/>
                <w:sz w:val="24"/>
                <w:szCs w:val="24"/>
              </w:rPr>
              <w:t xml:space="preserve"> </w:t>
            </w:r>
            <w:r w:rsidR="00C17D7F" w:rsidRPr="00B73A48">
              <w:rPr>
                <w:rFonts w:ascii="Franklin Gothic Book" w:eastAsia="Times New Roman" w:hAnsi="Franklin Gothic Book" w:cs="Calibri"/>
                <w:sz w:val="24"/>
                <w:szCs w:val="24"/>
              </w:rPr>
              <w:t>c</w:t>
            </w:r>
            <w:r w:rsidRPr="00B73A48">
              <w:rPr>
                <w:rFonts w:ascii="Franklin Gothic Book" w:eastAsia="Times New Roman" w:hAnsi="Franklin Gothic Book" w:cs="Calibri"/>
                <w:sz w:val="24"/>
                <w:szCs w:val="24"/>
              </w:rPr>
              <w:t>lasses must provide direct benefit to the project</w:t>
            </w:r>
          </w:p>
          <w:p w14:paraId="39FB3EF8" w14:textId="77777777" w:rsidR="00472E3E" w:rsidRPr="00B73A48" w:rsidRDefault="00472E3E">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0C6A2270" w14:textId="580F3D71" w:rsidR="0022698B" w:rsidRPr="00B73A48" w:rsidRDefault="00472E3E">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Un</w:t>
            </w:r>
            <w:r w:rsidR="000612C0" w:rsidRPr="00B73A48">
              <w:rPr>
                <w:rFonts w:ascii="Franklin Gothic Book" w:eastAsia="Times New Roman" w:hAnsi="Franklin Gothic Book" w:cs="Calibri"/>
                <w:sz w:val="24"/>
                <w:szCs w:val="24"/>
              </w:rPr>
              <w:t xml:space="preserve">allowable if class benefits </w:t>
            </w:r>
            <w:r w:rsidR="00DE373F" w:rsidRPr="00B73A48">
              <w:rPr>
                <w:rFonts w:ascii="Franklin Gothic Book" w:eastAsia="Times New Roman" w:hAnsi="Franklin Gothic Book" w:cs="Calibri"/>
                <w:sz w:val="24"/>
                <w:szCs w:val="24"/>
              </w:rPr>
              <w:t>an individual</w:t>
            </w:r>
            <w:r w:rsidR="000612C0" w:rsidRPr="00B73A48">
              <w:rPr>
                <w:rFonts w:ascii="Franklin Gothic Book" w:eastAsia="Times New Roman" w:hAnsi="Franklin Gothic Book" w:cs="Calibri"/>
                <w:sz w:val="24"/>
                <w:szCs w:val="24"/>
              </w:rPr>
              <w:t xml:space="preserve"> in general</w:t>
            </w:r>
          </w:p>
        </w:tc>
      </w:tr>
    </w:tbl>
    <w:p w14:paraId="452358EE" w14:textId="357601ED" w:rsidR="00FC6466" w:rsidRPr="00735625" w:rsidRDefault="00D37506" w:rsidP="00B86857">
      <w:pPr>
        <w:rPr>
          <w:rFonts w:ascii="Franklin Gothic Book" w:eastAsia="Times New Roman" w:hAnsi="Franklin Gothic Book" w:cs="Calibri"/>
          <w:b/>
          <w:bCs/>
          <w:sz w:val="24"/>
          <w:szCs w:val="24"/>
        </w:rPr>
      </w:pPr>
      <w:r w:rsidRPr="00B73A48">
        <w:rPr>
          <w:rFonts w:ascii="Franklin Gothic Book" w:eastAsia="Times New Roman" w:hAnsi="Franklin Gothic Book" w:cs="Calibri"/>
          <w:b/>
          <w:bCs/>
          <w:sz w:val="24"/>
          <w:szCs w:val="24"/>
        </w:rPr>
        <w:br w:type="textWrapping" w:clear="all"/>
      </w:r>
    </w:p>
    <w:tbl>
      <w:tblPr>
        <w:tblW w:w="9540" w:type="dxa"/>
        <w:tblInd w:w="-185" w:type="dxa"/>
        <w:tblBorders>
          <w:insideH w:val="single" w:sz="4" w:space="0" w:color="auto"/>
          <w:insideV w:val="single" w:sz="4" w:space="0" w:color="auto"/>
        </w:tblBorders>
        <w:tblLayout w:type="fixed"/>
        <w:tblLook w:val="0000" w:firstRow="0" w:lastRow="0" w:firstColumn="0" w:lastColumn="0" w:noHBand="0" w:noVBand="0"/>
      </w:tblPr>
      <w:tblGrid>
        <w:gridCol w:w="4073"/>
        <w:gridCol w:w="5467"/>
      </w:tblGrid>
      <w:tr w:rsidR="002F7ACB" w:rsidRPr="00D37506" w14:paraId="4CE20785" w14:textId="77777777" w:rsidTr="00735625">
        <w:trPr>
          <w:trHeight w:val="277"/>
          <w:tblHeader/>
        </w:trPr>
        <w:tc>
          <w:tcPr>
            <w:tcW w:w="9540" w:type="dxa"/>
            <w:gridSpan w:val="2"/>
            <w:tcBorders>
              <w:top w:val="single" w:sz="4" w:space="0" w:color="auto"/>
              <w:left w:val="single" w:sz="4" w:space="0" w:color="auto"/>
              <w:bottom w:val="single" w:sz="4" w:space="0" w:color="auto"/>
              <w:right w:val="single" w:sz="4" w:space="0" w:color="auto"/>
            </w:tcBorders>
            <w:shd w:val="clear" w:color="auto" w:fill="007749"/>
          </w:tcPr>
          <w:p w14:paraId="2E59FA3F" w14:textId="77777777" w:rsidR="002F7ACB" w:rsidRPr="00B73A48" w:rsidRDefault="002F7ACB" w:rsidP="00AC2695">
            <w:pPr>
              <w:widowControl w:val="0"/>
              <w:tabs>
                <w:tab w:val="left" w:pos="-1440"/>
              </w:tabs>
              <w:autoSpaceDE w:val="0"/>
              <w:autoSpaceDN w:val="0"/>
              <w:adjustRightInd w:val="0"/>
              <w:spacing w:after="0" w:line="240" w:lineRule="auto"/>
              <w:jc w:val="center"/>
              <w:rPr>
                <w:rFonts w:ascii="Franklin Gothic Book" w:eastAsia="Times New Roman" w:hAnsi="Franklin Gothic Book" w:cs="Calibri"/>
                <w:b/>
                <w:bCs/>
                <w:color w:val="FFFFFF" w:themeColor="background1"/>
                <w:sz w:val="24"/>
                <w:szCs w:val="24"/>
              </w:rPr>
            </w:pPr>
            <w:r w:rsidRPr="00B73A48">
              <w:rPr>
                <w:rFonts w:ascii="Franklin Gothic Book" w:eastAsia="Times New Roman" w:hAnsi="Franklin Gothic Book" w:cs="Calibri"/>
                <w:b/>
                <w:bCs/>
                <w:color w:val="FFFFFF" w:themeColor="background1"/>
                <w:sz w:val="24"/>
                <w:szCs w:val="24"/>
                <w:u w:val="single"/>
              </w:rPr>
              <w:t>UNALLOWABLE COSTS</w:t>
            </w:r>
          </w:p>
        </w:tc>
      </w:tr>
      <w:tr w:rsidR="002F7ACB" w:rsidRPr="00D37506" w14:paraId="3CFA71DA" w14:textId="77777777" w:rsidTr="00735625">
        <w:trPr>
          <w:trHeight w:val="277"/>
          <w:tblHeader/>
        </w:trPr>
        <w:tc>
          <w:tcPr>
            <w:tcW w:w="4073" w:type="dxa"/>
            <w:tcBorders>
              <w:top w:val="single" w:sz="4" w:space="0" w:color="auto"/>
              <w:left w:val="single" w:sz="4" w:space="0" w:color="auto"/>
              <w:bottom w:val="single" w:sz="4" w:space="0" w:color="auto"/>
              <w:right w:val="single" w:sz="4" w:space="0" w:color="auto"/>
            </w:tcBorders>
            <w:shd w:val="clear" w:color="auto" w:fill="007749"/>
          </w:tcPr>
          <w:p w14:paraId="164761D8" w14:textId="77777777" w:rsidR="002F7ACB" w:rsidRPr="00B73A48" w:rsidRDefault="002F7ACB" w:rsidP="002F7ACB">
            <w:pPr>
              <w:widowControl w:val="0"/>
              <w:tabs>
                <w:tab w:val="left" w:pos="-1440"/>
              </w:tabs>
              <w:autoSpaceDE w:val="0"/>
              <w:autoSpaceDN w:val="0"/>
              <w:adjustRightInd w:val="0"/>
              <w:spacing w:after="0" w:line="240" w:lineRule="auto"/>
              <w:rPr>
                <w:rFonts w:ascii="Franklin Gothic Book" w:eastAsia="Times New Roman" w:hAnsi="Franklin Gothic Book" w:cs="Calibri"/>
                <w:b/>
                <w:bCs/>
                <w:sz w:val="24"/>
                <w:szCs w:val="24"/>
              </w:rPr>
            </w:pPr>
            <w:r w:rsidRPr="00B73A48">
              <w:rPr>
                <w:rFonts w:ascii="Franklin Gothic Book" w:eastAsia="Times New Roman" w:hAnsi="Franklin Gothic Book" w:cs="Calibri"/>
                <w:b/>
                <w:bCs/>
                <w:color w:val="FFFFFF" w:themeColor="background1"/>
                <w:sz w:val="24"/>
                <w:szCs w:val="24"/>
              </w:rPr>
              <w:t>Cost</w:t>
            </w:r>
          </w:p>
        </w:tc>
        <w:tc>
          <w:tcPr>
            <w:tcW w:w="5467" w:type="dxa"/>
            <w:tcBorders>
              <w:top w:val="single" w:sz="4" w:space="0" w:color="auto"/>
              <w:left w:val="single" w:sz="4" w:space="0" w:color="auto"/>
              <w:bottom w:val="single" w:sz="4" w:space="0" w:color="auto"/>
              <w:right w:val="single" w:sz="4" w:space="0" w:color="auto"/>
            </w:tcBorders>
            <w:shd w:val="clear" w:color="auto" w:fill="007749"/>
          </w:tcPr>
          <w:p w14:paraId="4B815DDB" w14:textId="77777777" w:rsidR="002F7ACB" w:rsidRPr="00B73A48" w:rsidRDefault="002F7ACB" w:rsidP="002F7ACB">
            <w:pPr>
              <w:widowControl w:val="0"/>
              <w:tabs>
                <w:tab w:val="left" w:pos="-1440"/>
              </w:tabs>
              <w:autoSpaceDE w:val="0"/>
              <w:autoSpaceDN w:val="0"/>
              <w:adjustRightInd w:val="0"/>
              <w:spacing w:after="0" w:line="240" w:lineRule="auto"/>
              <w:rPr>
                <w:rFonts w:ascii="Franklin Gothic Book" w:eastAsia="Times New Roman" w:hAnsi="Franklin Gothic Book" w:cs="Calibri"/>
                <w:b/>
                <w:bCs/>
                <w:color w:val="FFFFFF" w:themeColor="background1"/>
                <w:sz w:val="24"/>
                <w:szCs w:val="24"/>
              </w:rPr>
            </w:pPr>
            <w:r w:rsidRPr="00B73A48">
              <w:rPr>
                <w:rFonts w:ascii="Franklin Gothic Book" w:eastAsia="Times New Roman" w:hAnsi="Franklin Gothic Book" w:cs="Calibri"/>
                <w:b/>
                <w:bCs/>
                <w:color w:val="FFFFFF" w:themeColor="background1"/>
                <w:sz w:val="24"/>
                <w:szCs w:val="24"/>
              </w:rPr>
              <w:t>Description</w:t>
            </w:r>
          </w:p>
        </w:tc>
      </w:tr>
      <w:tr w:rsidR="00973E7A" w:rsidRPr="00D37506" w14:paraId="66F085FC"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6334C3BC"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Alcoholic Beverages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7A45E85F" w14:textId="0C1D8B56"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Purchase of alcoholic beverages</w:t>
            </w:r>
            <w:r w:rsidR="00980F06" w:rsidRPr="00B73A48">
              <w:rPr>
                <w:rFonts w:ascii="Franklin Gothic Book" w:eastAsia="Times New Roman" w:hAnsi="Franklin Gothic Book" w:cs="Calibri"/>
                <w:sz w:val="24"/>
                <w:szCs w:val="24"/>
              </w:rPr>
              <w:t xml:space="preserve"> and associated taxes</w:t>
            </w:r>
            <w:r w:rsidR="001C617A" w:rsidRPr="00B73A48">
              <w:rPr>
                <w:rFonts w:ascii="Franklin Gothic Book" w:eastAsia="Times New Roman" w:hAnsi="Franklin Gothic Book" w:cs="Calibri"/>
                <w:sz w:val="24"/>
                <w:szCs w:val="24"/>
              </w:rPr>
              <w:t xml:space="preserve"> (includes beverages with approved meeting expenses)</w:t>
            </w:r>
          </w:p>
        </w:tc>
      </w:tr>
      <w:tr w:rsidR="00973E7A" w:rsidRPr="00D37506" w14:paraId="6F751E9E"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34510FF4"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Alterations and Renovations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24DDE3B3"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Rearrangement, alteration or renovation of facilities to expand or improve use</w:t>
            </w:r>
          </w:p>
        </w:tc>
      </w:tr>
      <w:tr w:rsidR="00973E7A" w:rsidRPr="00D37506" w14:paraId="189870D2"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7B24965F"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Alumni Activities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45A9A7D5"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Alumni relations and alumni service costs</w:t>
            </w:r>
          </w:p>
        </w:tc>
      </w:tr>
      <w:tr w:rsidR="001B1246" w:rsidRPr="00D37506" w14:paraId="06451D7C"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274F27D6" w14:textId="63DB6A41" w:rsidR="001B1246" w:rsidRPr="00B73A48" w:rsidRDefault="001B1246"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Audit Fees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22B7F52A" w14:textId="5BB4F124" w:rsidR="001B1246" w:rsidRPr="00B73A48" w:rsidRDefault="00BE42DB"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Audit costs including the c</w:t>
            </w:r>
            <w:r w:rsidR="001B1246" w:rsidRPr="00B73A48">
              <w:rPr>
                <w:rFonts w:ascii="Franklin Gothic Book" w:eastAsia="Times New Roman" w:hAnsi="Franklin Gothic Book" w:cs="Calibri"/>
                <w:sz w:val="24"/>
                <w:szCs w:val="24"/>
              </w:rPr>
              <w:t>ost of annual financial audit required for community partners to remain in compliance with AHW funding requirements</w:t>
            </w:r>
          </w:p>
        </w:tc>
      </w:tr>
      <w:tr w:rsidR="00973E7A" w:rsidRPr="00D37506" w14:paraId="215DAE51"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2B2CE4FC"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Bad Debts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74594FF7" w14:textId="1ED7B898"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Losses from uncollectible accounts, collection costs</w:t>
            </w:r>
            <w:r w:rsidR="00F56EF3">
              <w:rPr>
                <w:rFonts w:ascii="Franklin Gothic Book" w:eastAsia="Times New Roman" w:hAnsi="Franklin Gothic Book" w:cs="Calibri"/>
                <w:sz w:val="24"/>
                <w:szCs w:val="24"/>
              </w:rPr>
              <w:t>,</w:t>
            </w:r>
            <w:r w:rsidRPr="00B73A48">
              <w:rPr>
                <w:rFonts w:ascii="Franklin Gothic Book" w:eastAsia="Times New Roman" w:hAnsi="Franklin Gothic Book" w:cs="Calibri"/>
                <w:sz w:val="24"/>
                <w:szCs w:val="24"/>
              </w:rPr>
              <w:t xml:space="preserve"> and related legal costs</w:t>
            </w:r>
          </w:p>
        </w:tc>
      </w:tr>
      <w:tr w:rsidR="00973E7A" w:rsidRPr="00D37506" w14:paraId="33A17EF3"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21F52F5F"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Commencement/Convocation</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56271019"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Costs of ceremonies and receptions</w:t>
            </w:r>
          </w:p>
        </w:tc>
      </w:tr>
      <w:tr w:rsidR="00973E7A" w:rsidRPr="00D37506" w14:paraId="4674C3D3"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55901162"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Contingency Funds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12F7C607" w14:textId="6D9DCD5A"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Provisions made for events that are uncertain as to actual occurrence, timing</w:t>
            </w:r>
            <w:r w:rsidR="00F56EF3">
              <w:rPr>
                <w:rFonts w:ascii="Franklin Gothic Book" w:eastAsia="Times New Roman" w:hAnsi="Franklin Gothic Book" w:cs="Calibri"/>
                <w:sz w:val="24"/>
                <w:szCs w:val="24"/>
              </w:rPr>
              <w:t>,</w:t>
            </w:r>
            <w:r w:rsidRPr="00B73A48">
              <w:rPr>
                <w:rFonts w:ascii="Franklin Gothic Book" w:eastAsia="Times New Roman" w:hAnsi="Franklin Gothic Book" w:cs="Calibri"/>
                <w:sz w:val="24"/>
                <w:szCs w:val="24"/>
              </w:rPr>
              <w:t xml:space="preserve"> or extent</w:t>
            </w:r>
          </w:p>
        </w:tc>
      </w:tr>
      <w:tr w:rsidR="00973E7A" w:rsidRPr="00D37506" w14:paraId="4846B4B4"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088941DC" w14:textId="2B96AFE6" w:rsidR="00973E7A" w:rsidRPr="00B73A48" w:rsidRDefault="00AA757E"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 xml:space="preserve">Legal Fees, </w:t>
            </w:r>
            <w:r w:rsidR="00973E7A" w:rsidRPr="00B73A48">
              <w:rPr>
                <w:rFonts w:ascii="Franklin Gothic Book" w:eastAsia="Times New Roman" w:hAnsi="Franklin Gothic Book" w:cs="Calibri"/>
                <w:b/>
                <w:sz w:val="24"/>
                <w:szCs w:val="24"/>
              </w:rPr>
              <w:t>Defense, Prosecution, Claims and Appeals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14B03DFC" w14:textId="209EED20" w:rsidR="00973E7A" w:rsidRPr="00B73A48" w:rsidRDefault="00AA757E"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Legal fees and c</w:t>
            </w:r>
            <w:r w:rsidR="00973E7A" w:rsidRPr="00B73A48">
              <w:rPr>
                <w:rFonts w:ascii="Franklin Gothic Book" w:eastAsia="Times New Roman" w:hAnsi="Franklin Gothic Book" w:cs="Calibri"/>
                <w:sz w:val="24"/>
                <w:szCs w:val="24"/>
              </w:rPr>
              <w:t>osts resulting from defense, prosecution, claims</w:t>
            </w:r>
            <w:r w:rsidR="00F56EF3">
              <w:rPr>
                <w:rFonts w:ascii="Franklin Gothic Book" w:eastAsia="Times New Roman" w:hAnsi="Franklin Gothic Book" w:cs="Calibri"/>
                <w:sz w:val="24"/>
                <w:szCs w:val="24"/>
              </w:rPr>
              <w:t>,</w:t>
            </w:r>
            <w:r w:rsidR="00973E7A" w:rsidRPr="00B73A48">
              <w:rPr>
                <w:rFonts w:ascii="Franklin Gothic Book" w:eastAsia="Times New Roman" w:hAnsi="Franklin Gothic Book" w:cs="Calibri"/>
                <w:sz w:val="24"/>
                <w:szCs w:val="24"/>
              </w:rPr>
              <w:t xml:space="preserve"> and appeals expenses</w:t>
            </w:r>
          </w:p>
        </w:tc>
      </w:tr>
      <w:tr w:rsidR="00973E7A" w:rsidRPr="00D37506" w14:paraId="27CB83AF"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5B8F3428" w14:textId="7BA7A0AC"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Depreciation</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1FD0C969"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Cost of an asset (building or equipment) spread </w:t>
            </w:r>
            <w:r w:rsidRPr="00B73A48">
              <w:rPr>
                <w:rFonts w:ascii="Franklin Gothic Book" w:eastAsia="Times New Roman" w:hAnsi="Franklin Gothic Book" w:cs="Calibri"/>
                <w:sz w:val="24"/>
                <w:szCs w:val="24"/>
              </w:rPr>
              <w:lastRenderedPageBreak/>
              <w:t>over the asset's useful life</w:t>
            </w:r>
          </w:p>
        </w:tc>
      </w:tr>
      <w:tr w:rsidR="00973E7A" w:rsidRPr="00D37506" w14:paraId="3A3AB376"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45878F70"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lastRenderedPageBreak/>
              <w:t>Donations/Contributions and Fund Raising</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7C96A4BC"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Includes gifts, memorials and purchase of tables at fund raising events; Costs for development activities, including solicitation of gifts and bequests, endowment drives and capital campaigns</w:t>
            </w:r>
          </w:p>
        </w:tc>
      </w:tr>
      <w:tr w:rsidR="00973E7A" w:rsidRPr="00D37506" w14:paraId="399EE4B6"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790396BF"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Entertainment</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19BB1846" w14:textId="5059D174" w:rsidR="00973E7A" w:rsidRPr="00B73A48" w:rsidRDefault="00B73E0E"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2175AC">
              <w:rPr>
                <w:rFonts w:ascii="Franklin Gothic Book" w:eastAsia="Times New Roman" w:hAnsi="Franklin Gothic Book" w:cs="Calibri"/>
                <w:sz w:val="24"/>
                <w:szCs w:val="24"/>
              </w:rPr>
              <w:t xml:space="preserve">Recreational activities, either for entertainment, </w:t>
            </w:r>
            <w:r w:rsidR="003C7D26" w:rsidRPr="002175AC">
              <w:rPr>
                <w:rFonts w:ascii="Franklin Gothic Book" w:eastAsia="Times New Roman" w:hAnsi="Franklin Gothic Book" w:cs="Calibri"/>
                <w:sz w:val="24"/>
                <w:szCs w:val="24"/>
              </w:rPr>
              <w:t>team building</w:t>
            </w:r>
            <w:r w:rsidRPr="002175AC">
              <w:rPr>
                <w:rFonts w:ascii="Franklin Gothic Book" w:eastAsia="Times New Roman" w:hAnsi="Franklin Gothic Book" w:cs="Calibri"/>
                <w:sz w:val="24"/>
                <w:szCs w:val="24"/>
              </w:rPr>
              <w:t>, or celebration</w:t>
            </w:r>
            <w:r>
              <w:rPr>
                <w:rFonts w:ascii="Franklin Gothic Book" w:eastAsia="Times New Roman" w:hAnsi="Franklin Gothic Book" w:cs="Calibri"/>
                <w:sz w:val="24"/>
                <w:szCs w:val="24"/>
              </w:rPr>
              <w:t>.</w:t>
            </w:r>
            <w:r w:rsidRPr="00B73E0E">
              <w:rPr>
                <w:rFonts w:ascii="Franklin Gothic Book" w:eastAsia="Times New Roman" w:hAnsi="Franklin Gothic Book" w:cs="Calibri"/>
                <w:sz w:val="24"/>
                <w:szCs w:val="24"/>
              </w:rPr>
              <w:t xml:space="preserve"> </w:t>
            </w:r>
            <w:r w:rsidR="00AA757E" w:rsidRPr="00B73A48">
              <w:rPr>
                <w:rFonts w:ascii="Franklin Gothic Book" w:eastAsia="Times New Roman" w:hAnsi="Franklin Gothic Book" w:cs="Calibri"/>
                <w:sz w:val="24"/>
                <w:szCs w:val="24"/>
              </w:rPr>
              <w:t>General a</w:t>
            </w:r>
            <w:r w:rsidR="00973E7A" w:rsidRPr="00B73A48">
              <w:rPr>
                <w:rFonts w:ascii="Franklin Gothic Book" w:eastAsia="Times New Roman" w:hAnsi="Franklin Gothic Book" w:cs="Calibri"/>
                <w:sz w:val="24"/>
                <w:szCs w:val="24"/>
              </w:rPr>
              <w:t>musement, social activities and related costs (tickets, meals, lodging and gratuities</w:t>
            </w:r>
            <w:r w:rsidR="002368F1" w:rsidRPr="00B73A48">
              <w:rPr>
                <w:rFonts w:ascii="Franklin Gothic Book" w:eastAsia="Times New Roman" w:hAnsi="Franklin Gothic Book" w:cs="Calibri"/>
                <w:sz w:val="24"/>
                <w:szCs w:val="24"/>
              </w:rPr>
              <w:t>, etc.</w:t>
            </w:r>
            <w:r w:rsidR="00973E7A" w:rsidRPr="00B73A48">
              <w:rPr>
                <w:rFonts w:ascii="Franklin Gothic Book" w:eastAsia="Times New Roman" w:hAnsi="Franklin Gothic Book" w:cs="Calibri"/>
                <w:sz w:val="24"/>
                <w:szCs w:val="24"/>
              </w:rPr>
              <w:t>)</w:t>
            </w:r>
            <w:r w:rsidR="0054065B">
              <w:rPr>
                <w:rFonts w:ascii="Franklin Gothic Book" w:eastAsia="Times New Roman" w:hAnsi="Franklin Gothic Book" w:cs="Calibri"/>
                <w:sz w:val="24"/>
                <w:szCs w:val="24"/>
              </w:rPr>
              <w:t xml:space="preserve"> </w:t>
            </w:r>
          </w:p>
        </w:tc>
      </w:tr>
      <w:tr w:rsidR="002368F1" w:rsidRPr="00D37506" w14:paraId="715D6FC4"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562015CE" w14:textId="4C73C48A" w:rsidR="002368F1" w:rsidRPr="00B73A48" w:rsidRDefault="002368F1"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Establishing Independent Organization</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27F15BDA" w14:textId="50584DB1" w:rsidR="002368F1" w:rsidRPr="00B73A48" w:rsidRDefault="002368F1"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Funds to establish an independent organization, such as a 501(c)(3) or a limited liability corporation, is strictly prohibited. This includes a prohibition of AHW funds being used to support project staff effort to establish an independent organization.</w:t>
            </w:r>
          </w:p>
        </w:tc>
      </w:tr>
      <w:tr w:rsidR="001E3ABF" w:rsidRPr="00D37506" w14:paraId="2A1F8B05"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73F01353" w14:textId="6F980797" w:rsidR="001E3ABF" w:rsidRPr="00B73A48" w:rsidRDefault="001E3ABF"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Faculty Recruitment Expenses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5C22478B" w14:textId="65230918" w:rsidR="001E3ABF" w:rsidRPr="00B73A48" w:rsidRDefault="001E3ABF" w:rsidP="001E3ABF">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Includes, but </w:t>
            </w:r>
            <w:r w:rsidR="00AE4246" w:rsidRPr="00B73A48">
              <w:rPr>
                <w:rFonts w:ascii="Franklin Gothic Book" w:eastAsia="Times New Roman" w:hAnsi="Franklin Gothic Book" w:cs="Calibri"/>
                <w:sz w:val="24"/>
                <w:szCs w:val="24"/>
              </w:rPr>
              <w:t>is</w:t>
            </w:r>
            <w:r w:rsidRPr="00B73A48">
              <w:rPr>
                <w:rFonts w:ascii="Franklin Gothic Book" w:eastAsia="Times New Roman" w:hAnsi="Franklin Gothic Book" w:cs="Calibri"/>
                <w:sz w:val="24"/>
                <w:szCs w:val="24"/>
              </w:rPr>
              <w:t xml:space="preserve"> not limited </w:t>
            </w:r>
            <w:r w:rsidR="003C7D26" w:rsidRPr="00B73A48">
              <w:rPr>
                <w:rFonts w:ascii="Franklin Gothic Book" w:eastAsia="Times New Roman" w:hAnsi="Franklin Gothic Book" w:cs="Calibri"/>
                <w:sz w:val="24"/>
                <w:szCs w:val="24"/>
              </w:rPr>
              <w:t>to</w:t>
            </w:r>
            <w:r w:rsidRPr="00B73A48">
              <w:rPr>
                <w:rFonts w:ascii="Franklin Gothic Book" w:eastAsia="Times New Roman" w:hAnsi="Franklin Gothic Book" w:cs="Calibri"/>
                <w:sz w:val="24"/>
                <w:szCs w:val="24"/>
              </w:rPr>
              <w:t xml:space="preserve"> relocation expenses, faculty recruitment search and marketing expenses, visas, bonuses, and entertaining expenses to help secure faculty recruitments</w:t>
            </w:r>
          </w:p>
        </w:tc>
      </w:tr>
      <w:tr w:rsidR="00973E7A" w:rsidRPr="00D37506" w14:paraId="3AC37CC7"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1FB8E533"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Fines and Penalties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133D8928"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Costs resulting from violations of laws and regulations</w:t>
            </w:r>
          </w:p>
        </w:tc>
      </w:tr>
      <w:tr w:rsidR="00973E7A" w:rsidRPr="00D37506" w14:paraId="5D923E67"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7896AF70"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Goods or Services for Personal Use by Employees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47D55106"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Items or services providing direct personal benefit to employees</w:t>
            </w:r>
          </w:p>
        </w:tc>
      </w:tr>
      <w:tr w:rsidR="00E46CD8" w:rsidRPr="00D37506" w14:paraId="4D7B53C7"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45978D64" w14:textId="260269CF" w:rsidR="00E46CD8" w:rsidRPr="00B73A48" w:rsidRDefault="00E46CD8" w:rsidP="00E46CD8">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Institutional Review Board (IRB) Fees</w:t>
            </w:r>
            <w:r w:rsidRPr="00B73A48">
              <w:rPr>
                <w:rFonts w:ascii="Franklin Gothic Book" w:hAnsi="Franklin Gothic Book"/>
              </w:rPr>
              <w:t xml:space="preserve"> </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6217FE15" w14:textId="6F8ADA17" w:rsidR="00E46CD8" w:rsidRPr="00B73A48" w:rsidRDefault="00E46CD8" w:rsidP="00E46CD8">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hAnsi="Franklin Gothic Book"/>
              </w:rPr>
              <w:t>Costs associated with obtaining necessary approvals from research compliance bodies, such as the Institutional Review Board</w:t>
            </w:r>
            <w:r w:rsidR="00B17AD3">
              <w:rPr>
                <w:rFonts w:ascii="Franklin Gothic Book" w:hAnsi="Franklin Gothic Book"/>
              </w:rPr>
              <w:t xml:space="preserve"> and Reliance</w:t>
            </w:r>
            <w:r w:rsidRPr="00B73A48">
              <w:rPr>
                <w:rFonts w:ascii="Franklin Gothic Book" w:hAnsi="Franklin Gothic Book"/>
              </w:rPr>
              <w:t>, are considered institutional costs and are not allowable.</w:t>
            </w:r>
          </w:p>
        </w:tc>
      </w:tr>
      <w:tr w:rsidR="00720F10" w:rsidRPr="00D37506" w14:paraId="1ADF5630"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17DCECC2" w14:textId="7006C3DD" w:rsidR="00720F10" w:rsidRPr="00B73A48" w:rsidRDefault="00720F10"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Insurance</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117399C8" w14:textId="42D04BC6" w:rsidR="00720F10" w:rsidRPr="00B73A48" w:rsidRDefault="00720F10"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Insurance coverage for normal business </w:t>
            </w:r>
            <w:r w:rsidR="00AA757E" w:rsidRPr="00B73A48">
              <w:rPr>
                <w:rFonts w:ascii="Franklin Gothic Book" w:eastAsia="Times New Roman" w:hAnsi="Franklin Gothic Book" w:cs="Calibri"/>
                <w:sz w:val="24"/>
                <w:szCs w:val="24"/>
              </w:rPr>
              <w:t xml:space="preserve">and operational </w:t>
            </w:r>
            <w:r w:rsidRPr="00B73A48">
              <w:rPr>
                <w:rFonts w:ascii="Franklin Gothic Book" w:eastAsia="Times New Roman" w:hAnsi="Franklin Gothic Book" w:cs="Calibri"/>
                <w:sz w:val="24"/>
                <w:szCs w:val="24"/>
              </w:rPr>
              <w:t>purposes</w:t>
            </w:r>
          </w:p>
        </w:tc>
      </w:tr>
      <w:tr w:rsidR="00CB0CAD" w:rsidRPr="00D37506" w14:paraId="598E1FE2"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666FAFB4" w14:textId="746CBD24" w:rsidR="00CB0CAD" w:rsidRPr="00B73A48" w:rsidRDefault="00CB0CAD" w:rsidP="00CB0CAD">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F56EF3">
              <w:rPr>
                <w:rFonts w:ascii="Franklin Gothic Book" w:eastAsia="Times New Roman" w:hAnsi="Franklin Gothic Book" w:cs="Calibri"/>
                <w:b/>
                <w:sz w:val="24"/>
                <w:szCs w:val="24"/>
              </w:rPr>
              <w:t>Interest</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65B48639" w14:textId="0AA1139B" w:rsidR="00CB0CAD" w:rsidRPr="00B73A48" w:rsidRDefault="00CB0CAD" w:rsidP="00CB0CAD">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hAnsi="Franklin Gothic Book"/>
              </w:rPr>
              <w:t>Interest expenses</w:t>
            </w:r>
          </w:p>
        </w:tc>
      </w:tr>
      <w:tr w:rsidR="00973E7A" w:rsidRPr="00D37506" w14:paraId="7E14A1B7"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71AB4062"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Investment Management</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51D1F0ED"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Costs of investment counsel</w:t>
            </w:r>
          </w:p>
        </w:tc>
      </w:tr>
      <w:tr w:rsidR="00973E7A" w:rsidRPr="00D37506" w14:paraId="7EFFF6A1"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788CDFB7"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Lobbying</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39E6F381" w14:textId="199BC841"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Attempts to influence outcomes of elections or other political actions</w:t>
            </w:r>
            <w:r w:rsidR="00674839" w:rsidRPr="00B73A48">
              <w:rPr>
                <w:rFonts w:ascii="Franklin Gothic Book" w:eastAsia="Times New Roman" w:hAnsi="Franklin Gothic Book" w:cs="Calibri"/>
                <w:sz w:val="24"/>
                <w:szCs w:val="24"/>
              </w:rPr>
              <w:t>.</w:t>
            </w:r>
          </w:p>
          <w:p w14:paraId="4F6F6198" w14:textId="298F2D73" w:rsidR="00674839" w:rsidRPr="00B73A48" w:rsidRDefault="00674839"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Costs associated with communicating directly with government officials with the purpose of influencing any legislative action or an administrative decision.</w:t>
            </w:r>
          </w:p>
        </w:tc>
      </w:tr>
      <w:tr w:rsidR="00973E7A" w:rsidRPr="00D37506" w14:paraId="2AD1CC25"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3CA58CB4"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Losses on Project Agreements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3613A5F1"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Costs </w:t>
            </w:r>
            <w:proofErr w:type="gramStart"/>
            <w:r w:rsidRPr="00B73A48">
              <w:rPr>
                <w:rFonts w:ascii="Franklin Gothic Book" w:eastAsia="Times New Roman" w:hAnsi="Franklin Gothic Book" w:cs="Calibri"/>
                <w:sz w:val="24"/>
                <w:szCs w:val="24"/>
              </w:rPr>
              <w:t>in excess of</w:t>
            </w:r>
            <w:proofErr w:type="gramEnd"/>
            <w:r w:rsidRPr="00B73A48">
              <w:rPr>
                <w:rFonts w:ascii="Franklin Gothic Book" w:eastAsia="Times New Roman" w:hAnsi="Franklin Gothic Book" w:cs="Calibri"/>
                <w:sz w:val="24"/>
                <w:szCs w:val="24"/>
              </w:rPr>
              <w:t xml:space="preserve"> available funding are unallowable as a direct cost on another project agreement</w:t>
            </w:r>
          </w:p>
        </w:tc>
      </w:tr>
      <w:tr w:rsidR="00122E2B" w:rsidRPr="00D37506" w14:paraId="24678328"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3234557E" w14:textId="207848CC" w:rsidR="00122E2B" w:rsidRPr="00B73A48" w:rsidRDefault="00122E2B"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Patient Care Costs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2C9E771B" w14:textId="3E89D5EF" w:rsidR="002C4BC4" w:rsidRPr="00B73A48" w:rsidRDefault="00027FA9"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Payment of expenses directly related to </w:t>
            </w:r>
            <w:r w:rsidR="00066572">
              <w:rPr>
                <w:rFonts w:ascii="Franklin Gothic Book" w:eastAsia="Times New Roman" w:hAnsi="Franklin Gothic Book" w:cs="Calibri"/>
                <w:sz w:val="24"/>
                <w:szCs w:val="24"/>
              </w:rPr>
              <w:t xml:space="preserve">clinical services </w:t>
            </w:r>
            <w:r w:rsidRPr="00B73A48">
              <w:rPr>
                <w:rFonts w:ascii="Franklin Gothic Book" w:eastAsia="Times New Roman" w:hAnsi="Franklin Gothic Book" w:cs="Calibri"/>
                <w:sz w:val="24"/>
                <w:szCs w:val="24"/>
              </w:rPr>
              <w:t>are treated as patient care costs</w:t>
            </w:r>
            <w:r w:rsidR="002C4BC4" w:rsidRPr="00B73A48">
              <w:rPr>
                <w:rFonts w:ascii="Franklin Gothic Book" w:eastAsia="Times New Roman" w:hAnsi="Franklin Gothic Book" w:cs="Calibri"/>
                <w:sz w:val="24"/>
                <w:szCs w:val="24"/>
              </w:rPr>
              <w:t xml:space="preserve">. Clinical services related to </w:t>
            </w:r>
            <w:r w:rsidR="00921B0A" w:rsidRPr="00B73A48">
              <w:rPr>
                <w:rFonts w:ascii="Franklin Gothic Book" w:eastAsia="Times New Roman" w:hAnsi="Franklin Gothic Book" w:cs="Calibri"/>
                <w:sz w:val="24"/>
                <w:szCs w:val="24"/>
              </w:rPr>
              <w:t xml:space="preserve">individual </w:t>
            </w:r>
            <w:r w:rsidR="002C4BC4" w:rsidRPr="00B73A48">
              <w:rPr>
                <w:rFonts w:ascii="Franklin Gothic Book" w:eastAsia="Times New Roman" w:hAnsi="Franklin Gothic Book" w:cs="Calibri"/>
                <w:sz w:val="24"/>
                <w:szCs w:val="24"/>
              </w:rPr>
              <w:t xml:space="preserve">treatment or follow-up for specific health conditions is unallowable, as well as billable health insurance services, such as medical services that are covered by a health insurance plan and can be billed to the insurance </w:t>
            </w:r>
            <w:r w:rsidR="002C4BC4" w:rsidRPr="00B73A48">
              <w:rPr>
                <w:rFonts w:ascii="Franklin Gothic Book" w:eastAsia="Times New Roman" w:hAnsi="Franklin Gothic Book" w:cs="Calibri"/>
                <w:sz w:val="24"/>
                <w:szCs w:val="24"/>
              </w:rPr>
              <w:lastRenderedPageBreak/>
              <w:t>company.</w:t>
            </w:r>
          </w:p>
          <w:p w14:paraId="1CC09D84" w14:textId="739FABB0" w:rsidR="002C4BC4" w:rsidRPr="00B73A48" w:rsidRDefault="002C4BC4" w:rsidP="00921B0A">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tc>
      </w:tr>
      <w:tr w:rsidR="00973E7A" w:rsidRPr="00D37506" w14:paraId="08DEC91D"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4D9166C1" w14:textId="17F17B8B"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lastRenderedPageBreak/>
              <w:t>Pre-Award Costs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5E1FE69C" w14:textId="7B760925"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Costs incurred prior to the effective date of the project agreemen</w:t>
            </w:r>
            <w:r w:rsidR="00CB0CAD" w:rsidRPr="00B73A48">
              <w:rPr>
                <w:rFonts w:ascii="Franklin Gothic Book" w:eastAsia="Times New Roman" w:hAnsi="Franklin Gothic Book" w:cs="Calibri"/>
                <w:sz w:val="24"/>
                <w:szCs w:val="24"/>
              </w:rPr>
              <w:t>t</w:t>
            </w:r>
            <w:r w:rsidR="00F56EF3">
              <w:rPr>
                <w:rFonts w:ascii="Franklin Gothic Book" w:eastAsia="Times New Roman" w:hAnsi="Franklin Gothic Book" w:cs="Calibri"/>
                <w:sz w:val="24"/>
                <w:szCs w:val="24"/>
              </w:rPr>
              <w:t>;</w:t>
            </w:r>
            <w:r w:rsidR="0052295B" w:rsidRPr="00B73A48">
              <w:rPr>
                <w:rFonts w:ascii="Franklin Gothic Book" w:eastAsia="Times New Roman" w:hAnsi="Franklin Gothic Book" w:cs="Calibri"/>
                <w:sz w:val="24"/>
                <w:szCs w:val="24"/>
              </w:rPr>
              <w:t xml:space="preserve"> </w:t>
            </w:r>
            <w:r w:rsidR="00473AF6">
              <w:rPr>
                <w:rFonts w:ascii="Franklin Gothic Book" w:eastAsia="Times New Roman" w:hAnsi="Franklin Gothic Book" w:cs="Calibri"/>
                <w:sz w:val="24"/>
                <w:szCs w:val="24"/>
              </w:rPr>
              <w:t xml:space="preserve">including grant writing, </w:t>
            </w:r>
            <w:r w:rsidR="0052295B" w:rsidRPr="00B73A48">
              <w:rPr>
                <w:rFonts w:ascii="Franklin Gothic Book" w:eastAsia="Times New Roman" w:hAnsi="Franklin Gothic Book" w:cs="Calibri"/>
                <w:sz w:val="24"/>
                <w:szCs w:val="24"/>
              </w:rPr>
              <w:t>IRB costs</w:t>
            </w:r>
            <w:r w:rsidR="00473AF6">
              <w:rPr>
                <w:rFonts w:ascii="Franklin Gothic Book" w:eastAsia="Times New Roman" w:hAnsi="Franklin Gothic Book" w:cs="Calibri"/>
                <w:sz w:val="24"/>
                <w:szCs w:val="24"/>
              </w:rPr>
              <w:t xml:space="preserve">, and </w:t>
            </w:r>
            <w:r w:rsidR="0052295B" w:rsidRPr="00B73A48">
              <w:rPr>
                <w:rFonts w:ascii="Franklin Gothic Book" w:eastAsia="Times New Roman" w:hAnsi="Franklin Gothic Book" w:cs="Calibri"/>
                <w:sz w:val="24"/>
                <w:szCs w:val="24"/>
              </w:rPr>
              <w:t>reliance fees.</w:t>
            </w:r>
          </w:p>
        </w:tc>
      </w:tr>
      <w:tr w:rsidR="00973E7A" w:rsidRPr="00D37506" w14:paraId="1188FFC9" w14:textId="77777777" w:rsidTr="00735625">
        <w:trPr>
          <w:trHeight w:val="1043"/>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65D61A3A" w14:textId="77777777"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Proposal Costs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61B901DA" w14:textId="12A6683D" w:rsidR="00973E7A" w:rsidRPr="00B73A48" w:rsidRDefault="00B52AA1"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52AA1">
              <w:rPr>
                <w:rFonts w:ascii="Franklin Gothic Book" w:eastAsia="Times New Roman" w:hAnsi="Franklin Gothic Book" w:cs="Calibri"/>
                <w:sz w:val="24"/>
                <w:szCs w:val="24"/>
              </w:rPr>
              <w:t>Expenses related to the preparation of the proposal prior to the grant award are considered institutional costs and are not allowable.</w:t>
            </w:r>
            <w:r>
              <w:rPr>
                <w:rFonts w:ascii="Franklin Gothic Book" w:eastAsia="Times New Roman" w:hAnsi="Franklin Gothic Book" w:cs="Calibri"/>
                <w:sz w:val="24"/>
                <w:szCs w:val="24"/>
              </w:rPr>
              <w:t xml:space="preserve"> </w:t>
            </w:r>
            <w:r w:rsidRPr="00B52AA1">
              <w:rPr>
                <w:rFonts w:ascii="Franklin Gothic Book" w:eastAsia="Times New Roman" w:hAnsi="Franklin Gothic Book" w:cs="Calibri"/>
                <w:sz w:val="24"/>
                <w:szCs w:val="24"/>
              </w:rPr>
              <w:t xml:space="preserve">This includes project </w:t>
            </w:r>
            <w:r w:rsidR="003577BE">
              <w:rPr>
                <w:rFonts w:ascii="Franklin Gothic Book" w:eastAsia="Times New Roman" w:hAnsi="Franklin Gothic Book" w:cs="Calibri"/>
                <w:sz w:val="24"/>
                <w:szCs w:val="24"/>
              </w:rPr>
              <w:t xml:space="preserve">personnel </w:t>
            </w:r>
            <w:r w:rsidRPr="00B52AA1">
              <w:rPr>
                <w:rFonts w:ascii="Franklin Gothic Book" w:eastAsia="Times New Roman" w:hAnsi="Franklin Gothic Book" w:cs="Calibri"/>
                <w:sz w:val="24"/>
                <w:szCs w:val="24"/>
              </w:rPr>
              <w:t xml:space="preserve">effort </w:t>
            </w:r>
            <w:r>
              <w:rPr>
                <w:rFonts w:ascii="Franklin Gothic Book" w:eastAsia="Times New Roman" w:hAnsi="Franklin Gothic Book" w:cs="Calibri"/>
                <w:sz w:val="24"/>
                <w:szCs w:val="24"/>
              </w:rPr>
              <w:t>for grant writing and cost</w:t>
            </w:r>
            <w:r w:rsidR="00F56EF3">
              <w:rPr>
                <w:rFonts w:ascii="Franklin Gothic Book" w:eastAsia="Times New Roman" w:hAnsi="Franklin Gothic Book" w:cs="Calibri"/>
                <w:sz w:val="24"/>
                <w:szCs w:val="24"/>
              </w:rPr>
              <w:t>s</w:t>
            </w:r>
            <w:r>
              <w:rPr>
                <w:rFonts w:ascii="Franklin Gothic Book" w:eastAsia="Times New Roman" w:hAnsi="Franklin Gothic Book" w:cs="Calibri"/>
                <w:sz w:val="24"/>
                <w:szCs w:val="24"/>
              </w:rPr>
              <w:t xml:space="preserve"> associated with proposal preparation.</w:t>
            </w:r>
          </w:p>
        </w:tc>
      </w:tr>
      <w:tr w:rsidR="00973E7A" w:rsidRPr="00D37506" w14:paraId="75340E45"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4FC97199" w14:textId="34D7E126"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 xml:space="preserve">Public Relations and Marketing </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7E17E188" w14:textId="233C2E20" w:rsidR="00973E7A" w:rsidRPr="00B73A48" w:rsidRDefault="00973E7A"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Public relations, marketing and related advertising costs intended to promote the organization</w:t>
            </w:r>
            <w:r w:rsidR="00CC5632" w:rsidRPr="00B73A48">
              <w:rPr>
                <w:rFonts w:ascii="Franklin Gothic Book" w:eastAsia="Times New Roman" w:hAnsi="Franklin Gothic Book" w:cs="Calibri"/>
                <w:sz w:val="24"/>
                <w:szCs w:val="24"/>
              </w:rPr>
              <w:t>/</w:t>
            </w:r>
            <w:r w:rsidR="00720F10" w:rsidRPr="00B73A48">
              <w:rPr>
                <w:rFonts w:ascii="Franklin Gothic Book" w:eastAsia="Times New Roman" w:hAnsi="Franklin Gothic Book" w:cs="Calibri"/>
                <w:sz w:val="24"/>
                <w:szCs w:val="24"/>
              </w:rPr>
              <w:t>department or</w:t>
            </w:r>
            <w:r w:rsidRPr="00B73A48">
              <w:rPr>
                <w:rFonts w:ascii="Franklin Gothic Book" w:eastAsia="Times New Roman" w:hAnsi="Franklin Gothic Book" w:cs="Calibri"/>
                <w:sz w:val="24"/>
                <w:szCs w:val="24"/>
              </w:rPr>
              <w:t xml:space="preserve"> improve community relations that are not project specific</w:t>
            </w:r>
          </w:p>
        </w:tc>
      </w:tr>
      <w:tr w:rsidR="0093058F" w:rsidRPr="00D37506" w14:paraId="6E6BC240"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00C114CB" w14:textId="370803B4" w:rsidR="0093058F" w:rsidRPr="00B73A48" w:rsidRDefault="0093058F"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bCs/>
                <w:sz w:val="24"/>
                <w:szCs w:val="24"/>
              </w:rPr>
              <w:t>Salary/Fringe for Administrative Personnel</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0A475A9C" w14:textId="0072D6AD" w:rsidR="00C21CD7" w:rsidRPr="00B73A48" w:rsidRDefault="00C21CD7" w:rsidP="00C21CD7">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 xml:space="preserve">Salaries and fringe benefits of general corporate or organizational support staff – </w:t>
            </w:r>
            <w:r w:rsidR="00D37506" w:rsidRPr="00B73A48">
              <w:rPr>
                <w:rFonts w:ascii="Franklin Gothic Book" w:eastAsia="Times New Roman" w:hAnsi="Franklin Gothic Book" w:cs="Calibri"/>
                <w:sz w:val="24"/>
                <w:szCs w:val="24"/>
              </w:rPr>
              <w:t xml:space="preserve">such as, </w:t>
            </w:r>
            <w:r w:rsidRPr="00B73A48">
              <w:rPr>
                <w:rFonts w:ascii="Franklin Gothic Book" w:eastAsia="Times New Roman" w:hAnsi="Franklin Gothic Book" w:cs="Calibri"/>
                <w:sz w:val="24"/>
                <w:szCs w:val="24"/>
              </w:rPr>
              <w:t>departmental administration, including professional and clerical staff, finance, human resources, general IT and central administration staff serving the entire organization – are considered an indirect cost and not allowable.</w:t>
            </w:r>
          </w:p>
        </w:tc>
      </w:tr>
      <w:tr w:rsidR="00B17AD3" w:rsidRPr="00D37506" w14:paraId="5B246C7F"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471A114E" w14:textId="5A3C93D5" w:rsidR="00B17AD3" w:rsidRPr="00B73A48" w:rsidRDefault="00B17AD3"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Pr>
                <w:rFonts w:ascii="Franklin Gothic Book" w:eastAsia="Times New Roman" w:hAnsi="Franklin Gothic Book" w:cs="Calibri"/>
                <w:b/>
                <w:sz w:val="24"/>
                <w:szCs w:val="24"/>
              </w:rPr>
              <w:t>Sales Tax</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4E16C8DC" w14:textId="40F46B04" w:rsidR="00B17AD3" w:rsidRPr="00B73A48" w:rsidRDefault="00B17AD3"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17AD3">
              <w:rPr>
                <w:rFonts w:ascii="Franklin Gothic Book" w:eastAsia="Times New Roman" w:hAnsi="Franklin Gothic Book" w:cs="Calibri"/>
                <w:sz w:val="24"/>
                <w:szCs w:val="24"/>
              </w:rPr>
              <w:t>Given the non-profit, tax-exempt status of the Medical College of Wisconsin (MCW) and AHW’s Endowment’s partner organizations, sales tax will generally not be reimbursed.  To practice appropriate stewardship and maximize the impact of AHW funds, partners should avoid incurring sales tax on purchases.</w:t>
            </w:r>
          </w:p>
        </w:tc>
      </w:tr>
      <w:tr w:rsidR="0022698B" w:rsidRPr="00D37506" w14:paraId="73122DDC" w14:textId="77777777" w:rsidTr="00735625">
        <w:trPr>
          <w:trHeight w:val="278"/>
        </w:trPr>
        <w:tc>
          <w:tcPr>
            <w:tcW w:w="4073" w:type="dxa"/>
            <w:tcBorders>
              <w:top w:val="single" w:sz="4" w:space="0" w:color="auto"/>
              <w:left w:val="single" w:sz="8" w:space="0" w:color="17365D"/>
              <w:bottom w:val="single" w:sz="4" w:space="0" w:color="auto"/>
              <w:right w:val="single" w:sz="4" w:space="0" w:color="auto"/>
            </w:tcBorders>
            <w:shd w:val="clear" w:color="auto" w:fill="C8C9C7"/>
          </w:tcPr>
          <w:p w14:paraId="4FF5F16D" w14:textId="3BD017A0" w:rsidR="0022698B" w:rsidRPr="00B73A48" w:rsidRDefault="0022698B"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b/>
                <w:sz w:val="24"/>
                <w:szCs w:val="24"/>
              </w:rPr>
            </w:pPr>
            <w:r w:rsidRPr="00B73A48">
              <w:rPr>
                <w:rFonts w:ascii="Franklin Gothic Book" w:eastAsia="Times New Roman" w:hAnsi="Franklin Gothic Book" w:cs="Calibri"/>
                <w:b/>
                <w:sz w:val="24"/>
                <w:szCs w:val="24"/>
              </w:rPr>
              <w:t>Scholarships and Student Stipends</w:t>
            </w:r>
          </w:p>
        </w:tc>
        <w:tc>
          <w:tcPr>
            <w:tcW w:w="5467" w:type="dxa"/>
            <w:tcBorders>
              <w:top w:val="single" w:sz="4" w:space="0" w:color="auto"/>
              <w:left w:val="single" w:sz="4" w:space="0" w:color="auto"/>
              <w:bottom w:val="single" w:sz="4" w:space="0" w:color="auto"/>
              <w:right w:val="single" w:sz="8" w:space="0" w:color="17365D"/>
            </w:tcBorders>
            <w:shd w:val="clear" w:color="auto" w:fill="auto"/>
          </w:tcPr>
          <w:p w14:paraId="293BB818" w14:textId="72E75B89" w:rsidR="0022698B" w:rsidRPr="00B73A48" w:rsidRDefault="0022698B" w:rsidP="00662C34">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sidRPr="00B73A48">
              <w:rPr>
                <w:rFonts w:ascii="Franklin Gothic Book" w:eastAsia="Times New Roman" w:hAnsi="Franklin Gothic Book" w:cs="Calibri"/>
                <w:sz w:val="24"/>
                <w:szCs w:val="24"/>
              </w:rPr>
              <w:t>Funds provided to support education or living expenses for students</w:t>
            </w:r>
          </w:p>
        </w:tc>
      </w:tr>
    </w:tbl>
    <w:p w14:paraId="675D2355" w14:textId="79A3AEE1" w:rsidR="00F848CB" w:rsidRPr="00B73A48" w:rsidRDefault="00F848CB" w:rsidP="00B73A48">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5915411D" w14:textId="77777777" w:rsidR="00AB0872" w:rsidRDefault="00AB0872"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p>
    <w:p w14:paraId="4BBA2EF5" w14:textId="076F6F80" w:rsidR="00F848CB" w:rsidRPr="00B73A48" w:rsidRDefault="00B57809" w:rsidP="00AB0872">
      <w:pPr>
        <w:widowControl w:val="0"/>
        <w:tabs>
          <w:tab w:val="left" w:pos="-1440"/>
        </w:tabs>
        <w:autoSpaceDE w:val="0"/>
        <w:autoSpaceDN w:val="0"/>
        <w:adjustRightInd w:val="0"/>
        <w:spacing w:after="0" w:line="240" w:lineRule="auto"/>
        <w:rPr>
          <w:rFonts w:ascii="Franklin Gothic Book" w:eastAsia="Times New Roman" w:hAnsi="Franklin Gothic Book" w:cs="Calibri"/>
          <w:sz w:val="24"/>
          <w:szCs w:val="24"/>
        </w:rPr>
      </w:pPr>
      <w:r>
        <w:rPr>
          <w:rFonts w:ascii="Franklin Gothic Book" w:eastAsia="Times New Roman" w:hAnsi="Franklin Gothic Book" w:cs="Calibri"/>
          <w:sz w:val="24"/>
          <w:szCs w:val="24"/>
        </w:rPr>
        <w:t xml:space="preserve">AHW </w:t>
      </w:r>
      <w:r w:rsidRPr="00B57809">
        <w:rPr>
          <w:rFonts w:ascii="Franklin Gothic Book" w:eastAsia="Times New Roman" w:hAnsi="Franklin Gothic Book" w:cs="Calibri"/>
          <w:sz w:val="24"/>
          <w:szCs w:val="24"/>
        </w:rPr>
        <w:t>Allowable and Unallowable Costs</w:t>
      </w:r>
      <w:r>
        <w:rPr>
          <w:rFonts w:ascii="Franklin Gothic Book" w:eastAsia="Times New Roman" w:hAnsi="Franklin Gothic Book" w:cs="Calibri"/>
          <w:sz w:val="24"/>
          <w:szCs w:val="24"/>
        </w:rPr>
        <w:t xml:space="preserve"> Webpage: </w:t>
      </w:r>
      <w:hyperlink r:id="rId8" w:history="1">
        <w:r w:rsidRPr="00175B5E">
          <w:rPr>
            <w:rStyle w:val="Hyperlink"/>
            <w:rFonts w:ascii="Franklin Gothic Book" w:eastAsia="Times New Roman" w:hAnsi="Franklin Gothic Book" w:cs="Calibri"/>
            <w:sz w:val="24"/>
            <w:szCs w:val="24"/>
          </w:rPr>
          <w:t>https://info.ahwendowment.org/allowable-and-unallowable-costs</w:t>
        </w:r>
      </w:hyperlink>
      <w:r>
        <w:rPr>
          <w:rFonts w:ascii="Franklin Gothic Book" w:eastAsia="Times New Roman" w:hAnsi="Franklin Gothic Book" w:cs="Calibri"/>
          <w:sz w:val="24"/>
          <w:szCs w:val="24"/>
        </w:rPr>
        <w:t xml:space="preserve"> </w:t>
      </w:r>
    </w:p>
    <w:p w14:paraId="3D282FBB" w14:textId="034BEFD4" w:rsidR="00BE42DB" w:rsidRPr="00B73A48" w:rsidRDefault="00BE42DB" w:rsidP="00B73A48">
      <w:pPr>
        <w:widowControl w:val="0"/>
        <w:tabs>
          <w:tab w:val="left" w:pos="-1440"/>
        </w:tabs>
        <w:autoSpaceDE w:val="0"/>
        <w:autoSpaceDN w:val="0"/>
        <w:adjustRightInd w:val="0"/>
        <w:spacing w:after="0" w:line="240" w:lineRule="auto"/>
        <w:ind w:left="360"/>
        <w:rPr>
          <w:rFonts w:ascii="Franklin Gothic Book" w:eastAsia="Times New Roman" w:hAnsi="Franklin Gothic Book" w:cs="Calibri"/>
          <w:sz w:val="24"/>
          <w:szCs w:val="24"/>
        </w:rPr>
      </w:pPr>
    </w:p>
    <w:p w14:paraId="415C2B55" w14:textId="263521F0" w:rsidR="00F848CB" w:rsidRPr="00B73A48" w:rsidRDefault="00F848CB" w:rsidP="00B73A48">
      <w:pPr>
        <w:widowControl w:val="0"/>
        <w:tabs>
          <w:tab w:val="left" w:pos="-1440"/>
        </w:tabs>
        <w:autoSpaceDE w:val="0"/>
        <w:autoSpaceDN w:val="0"/>
        <w:adjustRightInd w:val="0"/>
        <w:spacing w:after="0" w:line="240" w:lineRule="auto"/>
        <w:ind w:left="360"/>
        <w:rPr>
          <w:rFonts w:ascii="Franklin Gothic Book" w:eastAsia="Times New Roman" w:hAnsi="Franklin Gothic Book" w:cs="Calibri"/>
          <w:sz w:val="24"/>
          <w:szCs w:val="24"/>
        </w:rPr>
      </w:pPr>
    </w:p>
    <w:sectPr w:rsidR="00F848CB" w:rsidRPr="00B73A48" w:rsidSect="00797F77">
      <w:footerReference w:type="default" r:id="rId9"/>
      <w:footerReference w:type="first" r:id="rId10"/>
      <w:pgSz w:w="12240" w:h="15840"/>
      <w:pgMar w:top="1170" w:right="1440" w:bottom="1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8F90" w14:textId="77777777" w:rsidR="00127D46" w:rsidRDefault="00127D46" w:rsidP="007B0897">
      <w:pPr>
        <w:spacing w:after="0" w:line="240" w:lineRule="auto"/>
      </w:pPr>
      <w:r>
        <w:separator/>
      </w:r>
    </w:p>
  </w:endnote>
  <w:endnote w:type="continuationSeparator" w:id="0">
    <w:p w14:paraId="40C4FEA3" w14:textId="77777777" w:rsidR="00127D46" w:rsidRDefault="00127D46" w:rsidP="007B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FDAD" w14:textId="0F994EC4" w:rsidR="00F848CB" w:rsidRDefault="00535D46" w:rsidP="00F848CB">
    <w:pPr>
      <w:pStyle w:val="Footer"/>
      <w:jc w:val="right"/>
    </w:pPr>
    <w:r>
      <w:t>Revised M</w:t>
    </w:r>
    <w:r w:rsidR="00AB0872">
      <w:t>ay</w:t>
    </w:r>
    <w:r>
      <w:t xml:space="preserve"> 2025</w:t>
    </w:r>
  </w:p>
  <w:p w14:paraId="1D82A7B7" w14:textId="7295E253" w:rsidR="007B0897" w:rsidRDefault="007B0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A309" w14:textId="1D91485F" w:rsidR="00797F77" w:rsidRDefault="00797F77" w:rsidP="00797F77">
    <w:pPr>
      <w:pStyle w:val="Footer"/>
      <w:jc w:val="right"/>
    </w:pPr>
    <w:r>
      <w:rPr>
        <w:rFonts w:ascii="Franklin Gothic Book" w:hAnsi="Franklin Gothic Book"/>
        <w:b/>
        <w:noProof/>
        <w:sz w:val="20"/>
        <w:szCs w:val="20"/>
      </w:rPr>
      <w:drawing>
        <wp:anchor distT="0" distB="0" distL="114300" distR="114300" simplePos="0" relativeHeight="251659264" behindDoc="1" locked="0" layoutInCell="1" allowOverlap="1" wp14:anchorId="69921E94" wp14:editId="2AF3977E">
          <wp:simplePos x="0" y="0"/>
          <wp:positionH relativeFrom="page">
            <wp:posOffset>5263116</wp:posOffset>
          </wp:positionH>
          <wp:positionV relativeFrom="paragraph">
            <wp:posOffset>-616688</wp:posOffset>
          </wp:positionV>
          <wp:extent cx="2557277" cy="1249683"/>
          <wp:effectExtent l="0" t="0" r="0" b="7620"/>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7277" cy="12496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D8F6" w14:textId="77777777" w:rsidR="00127D46" w:rsidRDefault="00127D46" w:rsidP="007B0897">
      <w:pPr>
        <w:spacing w:after="0" w:line="240" w:lineRule="auto"/>
      </w:pPr>
      <w:r>
        <w:separator/>
      </w:r>
    </w:p>
  </w:footnote>
  <w:footnote w:type="continuationSeparator" w:id="0">
    <w:p w14:paraId="5EAA7ECB" w14:textId="77777777" w:rsidR="00127D46" w:rsidRDefault="00127D46" w:rsidP="007B0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924"/>
    <w:multiLevelType w:val="hybridMultilevel"/>
    <w:tmpl w:val="014283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4E1FCB"/>
    <w:multiLevelType w:val="hybridMultilevel"/>
    <w:tmpl w:val="E946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A0DFA"/>
    <w:multiLevelType w:val="hybridMultilevel"/>
    <w:tmpl w:val="ABEC0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03872"/>
    <w:multiLevelType w:val="hybridMultilevel"/>
    <w:tmpl w:val="6200FC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7B37FD"/>
    <w:multiLevelType w:val="hybridMultilevel"/>
    <w:tmpl w:val="62D2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B2C03"/>
    <w:multiLevelType w:val="hybridMultilevel"/>
    <w:tmpl w:val="45B0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C9"/>
    <w:rsid w:val="0000123A"/>
    <w:rsid w:val="000024FA"/>
    <w:rsid w:val="0000587D"/>
    <w:rsid w:val="000062F3"/>
    <w:rsid w:val="00007DEC"/>
    <w:rsid w:val="00010A80"/>
    <w:rsid w:val="0001132E"/>
    <w:rsid w:val="00014E08"/>
    <w:rsid w:val="00016C6E"/>
    <w:rsid w:val="00021DA0"/>
    <w:rsid w:val="000233C9"/>
    <w:rsid w:val="00025BEB"/>
    <w:rsid w:val="00027FA9"/>
    <w:rsid w:val="000338E9"/>
    <w:rsid w:val="00033F1F"/>
    <w:rsid w:val="00034DAB"/>
    <w:rsid w:val="00037300"/>
    <w:rsid w:val="00040FCA"/>
    <w:rsid w:val="00041CA6"/>
    <w:rsid w:val="0004377A"/>
    <w:rsid w:val="00044E38"/>
    <w:rsid w:val="00046EA2"/>
    <w:rsid w:val="00047086"/>
    <w:rsid w:val="000478B4"/>
    <w:rsid w:val="00051DE6"/>
    <w:rsid w:val="00054C2F"/>
    <w:rsid w:val="000568FC"/>
    <w:rsid w:val="00057D2F"/>
    <w:rsid w:val="00060531"/>
    <w:rsid w:val="00060F88"/>
    <w:rsid w:val="000612C0"/>
    <w:rsid w:val="00061C29"/>
    <w:rsid w:val="000660D7"/>
    <w:rsid w:val="0006655C"/>
    <w:rsid w:val="00066572"/>
    <w:rsid w:val="00067914"/>
    <w:rsid w:val="000679BB"/>
    <w:rsid w:val="00072C26"/>
    <w:rsid w:val="000734BD"/>
    <w:rsid w:val="00076FB7"/>
    <w:rsid w:val="0007707F"/>
    <w:rsid w:val="00085542"/>
    <w:rsid w:val="00086A45"/>
    <w:rsid w:val="0009051E"/>
    <w:rsid w:val="000917EB"/>
    <w:rsid w:val="000924B0"/>
    <w:rsid w:val="000A0181"/>
    <w:rsid w:val="000A19C8"/>
    <w:rsid w:val="000A25F7"/>
    <w:rsid w:val="000A4B2F"/>
    <w:rsid w:val="000B06E9"/>
    <w:rsid w:val="000B1627"/>
    <w:rsid w:val="000B1F34"/>
    <w:rsid w:val="000B6680"/>
    <w:rsid w:val="000B69D5"/>
    <w:rsid w:val="000C0012"/>
    <w:rsid w:val="000C1028"/>
    <w:rsid w:val="000C1E09"/>
    <w:rsid w:val="000C23B7"/>
    <w:rsid w:val="000C395F"/>
    <w:rsid w:val="000C46B1"/>
    <w:rsid w:val="000C4BB2"/>
    <w:rsid w:val="000C5547"/>
    <w:rsid w:val="000D0A54"/>
    <w:rsid w:val="000D1385"/>
    <w:rsid w:val="000D23D4"/>
    <w:rsid w:val="000D3B55"/>
    <w:rsid w:val="000D6C5D"/>
    <w:rsid w:val="000D7395"/>
    <w:rsid w:val="000E0CD9"/>
    <w:rsid w:val="000E11BD"/>
    <w:rsid w:val="000E347C"/>
    <w:rsid w:val="000E3B81"/>
    <w:rsid w:val="0010173F"/>
    <w:rsid w:val="001026E5"/>
    <w:rsid w:val="00102914"/>
    <w:rsid w:val="00102B1B"/>
    <w:rsid w:val="0010696B"/>
    <w:rsid w:val="00111019"/>
    <w:rsid w:val="00111F80"/>
    <w:rsid w:val="001142CC"/>
    <w:rsid w:val="0011625C"/>
    <w:rsid w:val="00116E15"/>
    <w:rsid w:val="00117E33"/>
    <w:rsid w:val="0012002F"/>
    <w:rsid w:val="00122E2B"/>
    <w:rsid w:val="001259EC"/>
    <w:rsid w:val="00127D46"/>
    <w:rsid w:val="00127DF6"/>
    <w:rsid w:val="0013079C"/>
    <w:rsid w:val="001329B3"/>
    <w:rsid w:val="00136EA0"/>
    <w:rsid w:val="0013726F"/>
    <w:rsid w:val="00142D2D"/>
    <w:rsid w:val="001434AE"/>
    <w:rsid w:val="001459BA"/>
    <w:rsid w:val="0014614E"/>
    <w:rsid w:val="00150B34"/>
    <w:rsid w:val="001516BE"/>
    <w:rsid w:val="0015587C"/>
    <w:rsid w:val="00155B21"/>
    <w:rsid w:val="00155F47"/>
    <w:rsid w:val="00160794"/>
    <w:rsid w:val="001619EE"/>
    <w:rsid w:val="00166280"/>
    <w:rsid w:val="00167457"/>
    <w:rsid w:val="00170E38"/>
    <w:rsid w:val="00171AB0"/>
    <w:rsid w:val="00172DD1"/>
    <w:rsid w:val="00173D7F"/>
    <w:rsid w:val="00173F72"/>
    <w:rsid w:val="00175CD8"/>
    <w:rsid w:val="00175E12"/>
    <w:rsid w:val="00180842"/>
    <w:rsid w:val="0019036A"/>
    <w:rsid w:val="001930A3"/>
    <w:rsid w:val="001944F5"/>
    <w:rsid w:val="00197326"/>
    <w:rsid w:val="001A02A9"/>
    <w:rsid w:val="001A54C1"/>
    <w:rsid w:val="001A5884"/>
    <w:rsid w:val="001B1246"/>
    <w:rsid w:val="001B214F"/>
    <w:rsid w:val="001B256C"/>
    <w:rsid w:val="001B2854"/>
    <w:rsid w:val="001C0071"/>
    <w:rsid w:val="001C0461"/>
    <w:rsid w:val="001C0665"/>
    <w:rsid w:val="001C4C78"/>
    <w:rsid w:val="001C617A"/>
    <w:rsid w:val="001C6A31"/>
    <w:rsid w:val="001D199C"/>
    <w:rsid w:val="001D1A4E"/>
    <w:rsid w:val="001D3986"/>
    <w:rsid w:val="001D3994"/>
    <w:rsid w:val="001D3B1E"/>
    <w:rsid w:val="001D56F0"/>
    <w:rsid w:val="001E0804"/>
    <w:rsid w:val="001E1BF3"/>
    <w:rsid w:val="001E3858"/>
    <w:rsid w:val="001E3ABF"/>
    <w:rsid w:val="001F0FE9"/>
    <w:rsid w:val="001F15EC"/>
    <w:rsid w:val="001F1CB1"/>
    <w:rsid w:val="001F2131"/>
    <w:rsid w:val="001F268A"/>
    <w:rsid w:val="001F3523"/>
    <w:rsid w:val="001F4E2A"/>
    <w:rsid w:val="001F6EC5"/>
    <w:rsid w:val="001F7F01"/>
    <w:rsid w:val="0020582D"/>
    <w:rsid w:val="00205F0E"/>
    <w:rsid w:val="00217D1D"/>
    <w:rsid w:val="002237B5"/>
    <w:rsid w:val="0022698B"/>
    <w:rsid w:val="00226EE4"/>
    <w:rsid w:val="002344A6"/>
    <w:rsid w:val="00235DE7"/>
    <w:rsid w:val="002368F1"/>
    <w:rsid w:val="00240B8C"/>
    <w:rsid w:val="00241301"/>
    <w:rsid w:val="00242452"/>
    <w:rsid w:val="00244DF9"/>
    <w:rsid w:val="00245DF7"/>
    <w:rsid w:val="00247F23"/>
    <w:rsid w:val="002519B8"/>
    <w:rsid w:val="00251E8C"/>
    <w:rsid w:val="00252557"/>
    <w:rsid w:val="0025262C"/>
    <w:rsid w:val="00255B87"/>
    <w:rsid w:val="00256B93"/>
    <w:rsid w:val="0025761A"/>
    <w:rsid w:val="0026049A"/>
    <w:rsid w:val="002624CF"/>
    <w:rsid w:val="00264403"/>
    <w:rsid w:val="00265C4B"/>
    <w:rsid w:val="0026730D"/>
    <w:rsid w:val="00273CF2"/>
    <w:rsid w:val="00273D58"/>
    <w:rsid w:val="00274388"/>
    <w:rsid w:val="00281179"/>
    <w:rsid w:val="002826D9"/>
    <w:rsid w:val="00284D80"/>
    <w:rsid w:val="00285A1A"/>
    <w:rsid w:val="00291665"/>
    <w:rsid w:val="00292974"/>
    <w:rsid w:val="002938E7"/>
    <w:rsid w:val="00293B06"/>
    <w:rsid w:val="00294D82"/>
    <w:rsid w:val="002964B9"/>
    <w:rsid w:val="002A3E2C"/>
    <w:rsid w:val="002A4290"/>
    <w:rsid w:val="002A4A1E"/>
    <w:rsid w:val="002A7130"/>
    <w:rsid w:val="002B1BEE"/>
    <w:rsid w:val="002B732F"/>
    <w:rsid w:val="002B7555"/>
    <w:rsid w:val="002B7AEB"/>
    <w:rsid w:val="002C4BC4"/>
    <w:rsid w:val="002C61E6"/>
    <w:rsid w:val="002C6724"/>
    <w:rsid w:val="002D1557"/>
    <w:rsid w:val="002D163A"/>
    <w:rsid w:val="002D237F"/>
    <w:rsid w:val="002D5286"/>
    <w:rsid w:val="002D5C1D"/>
    <w:rsid w:val="002D6534"/>
    <w:rsid w:val="002D78A4"/>
    <w:rsid w:val="002E122F"/>
    <w:rsid w:val="002E19CC"/>
    <w:rsid w:val="002E7810"/>
    <w:rsid w:val="002F0FA0"/>
    <w:rsid w:val="002F22D5"/>
    <w:rsid w:val="002F31D8"/>
    <w:rsid w:val="002F7ACB"/>
    <w:rsid w:val="00300996"/>
    <w:rsid w:val="00301B65"/>
    <w:rsid w:val="00302E76"/>
    <w:rsid w:val="0030382D"/>
    <w:rsid w:val="00303CBF"/>
    <w:rsid w:val="0031186D"/>
    <w:rsid w:val="0032350C"/>
    <w:rsid w:val="00323F27"/>
    <w:rsid w:val="00326369"/>
    <w:rsid w:val="003272F5"/>
    <w:rsid w:val="00331451"/>
    <w:rsid w:val="003328CC"/>
    <w:rsid w:val="00333E66"/>
    <w:rsid w:val="00340BF7"/>
    <w:rsid w:val="003413CD"/>
    <w:rsid w:val="0034671A"/>
    <w:rsid w:val="00347E75"/>
    <w:rsid w:val="00350E40"/>
    <w:rsid w:val="00352481"/>
    <w:rsid w:val="0035298A"/>
    <w:rsid w:val="00353977"/>
    <w:rsid w:val="00355E75"/>
    <w:rsid w:val="00355FFB"/>
    <w:rsid w:val="00356891"/>
    <w:rsid w:val="003577BE"/>
    <w:rsid w:val="00360550"/>
    <w:rsid w:val="00361415"/>
    <w:rsid w:val="00362559"/>
    <w:rsid w:val="00363EC5"/>
    <w:rsid w:val="00366612"/>
    <w:rsid w:val="003669C5"/>
    <w:rsid w:val="00370510"/>
    <w:rsid w:val="003717BD"/>
    <w:rsid w:val="00372D32"/>
    <w:rsid w:val="00374175"/>
    <w:rsid w:val="003741A5"/>
    <w:rsid w:val="00375621"/>
    <w:rsid w:val="00376946"/>
    <w:rsid w:val="003863D0"/>
    <w:rsid w:val="00390236"/>
    <w:rsid w:val="00390566"/>
    <w:rsid w:val="00394D9E"/>
    <w:rsid w:val="003968FA"/>
    <w:rsid w:val="00397F99"/>
    <w:rsid w:val="003A006E"/>
    <w:rsid w:val="003A0DF3"/>
    <w:rsid w:val="003A30FD"/>
    <w:rsid w:val="003A40EC"/>
    <w:rsid w:val="003A52D7"/>
    <w:rsid w:val="003B3430"/>
    <w:rsid w:val="003B60D0"/>
    <w:rsid w:val="003C0AB8"/>
    <w:rsid w:val="003C421B"/>
    <w:rsid w:val="003C6283"/>
    <w:rsid w:val="003C7D26"/>
    <w:rsid w:val="003C7FD2"/>
    <w:rsid w:val="003D31A4"/>
    <w:rsid w:val="003D3613"/>
    <w:rsid w:val="003D4932"/>
    <w:rsid w:val="003D62E3"/>
    <w:rsid w:val="003E08B4"/>
    <w:rsid w:val="003E0C38"/>
    <w:rsid w:val="003E2C6E"/>
    <w:rsid w:val="003F0631"/>
    <w:rsid w:val="003F0CF0"/>
    <w:rsid w:val="003F116D"/>
    <w:rsid w:val="003F20B5"/>
    <w:rsid w:val="003F4419"/>
    <w:rsid w:val="003F5E90"/>
    <w:rsid w:val="003F7687"/>
    <w:rsid w:val="004006F4"/>
    <w:rsid w:val="0040381F"/>
    <w:rsid w:val="00403AA8"/>
    <w:rsid w:val="0040610E"/>
    <w:rsid w:val="00406213"/>
    <w:rsid w:val="00413516"/>
    <w:rsid w:val="004146F5"/>
    <w:rsid w:val="00416D12"/>
    <w:rsid w:val="00422234"/>
    <w:rsid w:val="00422939"/>
    <w:rsid w:val="004250C3"/>
    <w:rsid w:val="004271BD"/>
    <w:rsid w:val="004347B8"/>
    <w:rsid w:val="0043575D"/>
    <w:rsid w:val="00435B6F"/>
    <w:rsid w:val="00440410"/>
    <w:rsid w:val="00440732"/>
    <w:rsid w:val="0044114A"/>
    <w:rsid w:val="004413BC"/>
    <w:rsid w:val="00442302"/>
    <w:rsid w:val="00445855"/>
    <w:rsid w:val="00446840"/>
    <w:rsid w:val="00450441"/>
    <w:rsid w:val="004512AC"/>
    <w:rsid w:val="00451561"/>
    <w:rsid w:val="00451F8D"/>
    <w:rsid w:val="004551CD"/>
    <w:rsid w:val="004556FF"/>
    <w:rsid w:val="00456737"/>
    <w:rsid w:val="00457C7D"/>
    <w:rsid w:val="00457FE0"/>
    <w:rsid w:val="00460C84"/>
    <w:rsid w:val="004652C9"/>
    <w:rsid w:val="0046707F"/>
    <w:rsid w:val="0046776C"/>
    <w:rsid w:val="00470A44"/>
    <w:rsid w:val="00470B4C"/>
    <w:rsid w:val="0047143B"/>
    <w:rsid w:val="00471A97"/>
    <w:rsid w:val="00472E3E"/>
    <w:rsid w:val="00473AF6"/>
    <w:rsid w:val="00473D14"/>
    <w:rsid w:val="00476D2D"/>
    <w:rsid w:val="00477C86"/>
    <w:rsid w:val="00480D0B"/>
    <w:rsid w:val="0048109C"/>
    <w:rsid w:val="00491B28"/>
    <w:rsid w:val="00494097"/>
    <w:rsid w:val="004A00D0"/>
    <w:rsid w:val="004A23D1"/>
    <w:rsid w:val="004B02AB"/>
    <w:rsid w:val="004B1072"/>
    <w:rsid w:val="004B1607"/>
    <w:rsid w:val="004B19CF"/>
    <w:rsid w:val="004B28B2"/>
    <w:rsid w:val="004B394C"/>
    <w:rsid w:val="004B3AFB"/>
    <w:rsid w:val="004B68FA"/>
    <w:rsid w:val="004B6F13"/>
    <w:rsid w:val="004C016D"/>
    <w:rsid w:val="004C1D16"/>
    <w:rsid w:val="004C3256"/>
    <w:rsid w:val="004C72D1"/>
    <w:rsid w:val="004D1AE3"/>
    <w:rsid w:val="004D2155"/>
    <w:rsid w:val="004D3394"/>
    <w:rsid w:val="004D4839"/>
    <w:rsid w:val="004D5F5C"/>
    <w:rsid w:val="004D77AE"/>
    <w:rsid w:val="004D7C85"/>
    <w:rsid w:val="004E4516"/>
    <w:rsid w:val="004E6ED9"/>
    <w:rsid w:val="004F0593"/>
    <w:rsid w:val="004F5481"/>
    <w:rsid w:val="004F58E0"/>
    <w:rsid w:val="00503610"/>
    <w:rsid w:val="005039E9"/>
    <w:rsid w:val="0050632A"/>
    <w:rsid w:val="0050796C"/>
    <w:rsid w:val="00510A7C"/>
    <w:rsid w:val="0051166F"/>
    <w:rsid w:val="00514F82"/>
    <w:rsid w:val="00520662"/>
    <w:rsid w:val="00521C4F"/>
    <w:rsid w:val="0052295B"/>
    <w:rsid w:val="0053322B"/>
    <w:rsid w:val="00534DD8"/>
    <w:rsid w:val="00535D46"/>
    <w:rsid w:val="00537DEA"/>
    <w:rsid w:val="0054065B"/>
    <w:rsid w:val="00544990"/>
    <w:rsid w:val="00546372"/>
    <w:rsid w:val="00546B77"/>
    <w:rsid w:val="00547EF4"/>
    <w:rsid w:val="00547FA1"/>
    <w:rsid w:val="00550B97"/>
    <w:rsid w:val="00553BD1"/>
    <w:rsid w:val="0055625E"/>
    <w:rsid w:val="005570DB"/>
    <w:rsid w:val="0056147C"/>
    <w:rsid w:val="00563E7E"/>
    <w:rsid w:val="00564239"/>
    <w:rsid w:val="00564D03"/>
    <w:rsid w:val="00565366"/>
    <w:rsid w:val="00572E81"/>
    <w:rsid w:val="005731D5"/>
    <w:rsid w:val="00573FCD"/>
    <w:rsid w:val="00581266"/>
    <w:rsid w:val="0058595B"/>
    <w:rsid w:val="00586602"/>
    <w:rsid w:val="005876AC"/>
    <w:rsid w:val="00587E49"/>
    <w:rsid w:val="005915CC"/>
    <w:rsid w:val="00591939"/>
    <w:rsid w:val="00592680"/>
    <w:rsid w:val="005957D7"/>
    <w:rsid w:val="005A13CA"/>
    <w:rsid w:val="005A2422"/>
    <w:rsid w:val="005A72B8"/>
    <w:rsid w:val="005A7E37"/>
    <w:rsid w:val="005B0F61"/>
    <w:rsid w:val="005B21AD"/>
    <w:rsid w:val="005B26FC"/>
    <w:rsid w:val="005B3C80"/>
    <w:rsid w:val="005B572A"/>
    <w:rsid w:val="005C1490"/>
    <w:rsid w:val="005C1EF0"/>
    <w:rsid w:val="005C42C7"/>
    <w:rsid w:val="005C4862"/>
    <w:rsid w:val="005C4DF1"/>
    <w:rsid w:val="005C51EB"/>
    <w:rsid w:val="005C702A"/>
    <w:rsid w:val="005D47E3"/>
    <w:rsid w:val="005D50EC"/>
    <w:rsid w:val="005D631F"/>
    <w:rsid w:val="005D665B"/>
    <w:rsid w:val="005E223C"/>
    <w:rsid w:val="005E225D"/>
    <w:rsid w:val="005E22E8"/>
    <w:rsid w:val="005E3F5B"/>
    <w:rsid w:val="005E4BB5"/>
    <w:rsid w:val="005E4E02"/>
    <w:rsid w:val="005F1173"/>
    <w:rsid w:val="005F1F03"/>
    <w:rsid w:val="005F25B0"/>
    <w:rsid w:val="005F31EB"/>
    <w:rsid w:val="005F4EF7"/>
    <w:rsid w:val="005F5719"/>
    <w:rsid w:val="005F580A"/>
    <w:rsid w:val="005F7CE7"/>
    <w:rsid w:val="005F7EC7"/>
    <w:rsid w:val="006019A6"/>
    <w:rsid w:val="0060321C"/>
    <w:rsid w:val="006055F6"/>
    <w:rsid w:val="006077A0"/>
    <w:rsid w:val="006104EE"/>
    <w:rsid w:val="00611070"/>
    <w:rsid w:val="00617B5B"/>
    <w:rsid w:val="00620716"/>
    <w:rsid w:val="0062416C"/>
    <w:rsid w:val="00625241"/>
    <w:rsid w:val="00626294"/>
    <w:rsid w:val="0063230D"/>
    <w:rsid w:val="006327F6"/>
    <w:rsid w:val="00633BB7"/>
    <w:rsid w:val="00633D3A"/>
    <w:rsid w:val="0064410A"/>
    <w:rsid w:val="00645527"/>
    <w:rsid w:val="00646390"/>
    <w:rsid w:val="006478AD"/>
    <w:rsid w:val="00652DFA"/>
    <w:rsid w:val="006544FE"/>
    <w:rsid w:val="00654A31"/>
    <w:rsid w:val="00660232"/>
    <w:rsid w:val="00662C34"/>
    <w:rsid w:val="00662E4D"/>
    <w:rsid w:val="00663DA8"/>
    <w:rsid w:val="00665BF8"/>
    <w:rsid w:val="0066691C"/>
    <w:rsid w:val="00667AF6"/>
    <w:rsid w:val="00671483"/>
    <w:rsid w:val="00674263"/>
    <w:rsid w:val="00674839"/>
    <w:rsid w:val="006769C2"/>
    <w:rsid w:val="006770CA"/>
    <w:rsid w:val="00677803"/>
    <w:rsid w:val="00677CA0"/>
    <w:rsid w:val="00685AFD"/>
    <w:rsid w:val="00685B05"/>
    <w:rsid w:val="006878C1"/>
    <w:rsid w:val="006911D4"/>
    <w:rsid w:val="006916E8"/>
    <w:rsid w:val="0069431A"/>
    <w:rsid w:val="006A285E"/>
    <w:rsid w:val="006A52A7"/>
    <w:rsid w:val="006A7163"/>
    <w:rsid w:val="006B000B"/>
    <w:rsid w:val="006B01DD"/>
    <w:rsid w:val="006B321F"/>
    <w:rsid w:val="006B3BF4"/>
    <w:rsid w:val="006B43B8"/>
    <w:rsid w:val="006B7FBA"/>
    <w:rsid w:val="006C0F69"/>
    <w:rsid w:val="006C181E"/>
    <w:rsid w:val="006C2D43"/>
    <w:rsid w:val="006C3751"/>
    <w:rsid w:val="006C63F2"/>
    <w:rsid w:val="006D057A"/>
    <w:rsid w:val="006E14C1"/>
    <w:rsid w:val="006E21D1"/>
    <w:rsid w:val="006E2E21"/>
    <w:rsid w:val="006E44FF"/>
    <w:rsid w:val="006E797F"/>
    <w:rsid w:val="006F160B"/>
    <w:rsid w:val="006F28C7"/>
    <w:rsid w:val="006F397C"/>
    <w:rsid w:val="006F7F1D"/>
    <w:rsid w:val="00700BD6"/>
    <w:rsid w:val="00700D9F"/>
    <w:rsid w:val="00701AAD"/>
    <w:rsid w:val="007025E2"/>
    <w:rsid w:val="007060F5"/>
    <w:rsid w:val="00706594"/>
    <w:rsid w:val="00707223"/>
    <w:rsid w:val="00710559"/>
    <w:rsid w:val="007107BC"/>
    <w:rsid w:val="0071232E"/>
    <w:rsid w:val="00714DB0"/>
    <w:rsid w:val="00715094"/>
    <w:rsid w:val="00715A84"/>
    <w:rsid w:val="007165B7"/>
    <w:rsid w:val="00717D15"/>
    <w:rsid w:val="00720F10"/>
    <w:rsid w:val="0072302D"/>
    <w:rsid w:val="007239C7"/>
    <w:rsid w:val="00724B3E"/>
    <w:rsid w:val="00726D4E"/>
    <w:rsid w:val="00727DCA"/>
    <w:rsid w:val="00733497"/>
    <w:rsid w:val="00733B7E"/>
    <w:rsid w:val="00735625"/>
    <w:rsid w:val="00736016"/>
    <w:rsid w:val="00743790"/>
    <w:rsid w:val="007441C7"/>
    <w:rsid w:val="00746AE2"/>
    <w:rsid w:val="00752420"/>
    <w:rsid w:val="00752BE5"/>
    <w:rsid w:val="00754320"/>
    <w:rsid w:val="0075509B"/>
    <w:rsid w:val="007559F4"/>
    <w:rsid w:val="00757AE5"/>
    <w:rsid w:val="00757B20"/>
    <w:rsid w:val="00761ED8"/>
    <w:rsid w:val="00763528"/>
    <w:rsid w:val="007637E6"/>
    <w:rsid w:val="00766333"/>
    <w:rsid w:val="0076643E"/>
    <w:rsid w:val="007665DB"/>
    <w:rsid w:val="00773C9A"/>
    <w:rsid w:val="00780743"/>
    <w:rsid w:val="007823B3"/>
    <w:rsid w:val="0078243F"/>
    <w:rsid w:val="00786385"/>
    <w:rsid w:val="007906B2"/>
    <w:rsid w:val="00791183"/>
    <w:rsid w:val="007934BE"/>
    <w:rsid w:val="0079426E"/>
    <w:rsid w:val="0079791A"/>
    <w:rsid w:val="00797F77"/>
    <w:rsid w:val="007A0EDB"/>
    <w:rsid w:val="007A2FB6"/>
    <w:rsid w:val="007B0897"/>
    <w:rsid w:val="007B1306"/>
    <w:rsid w:val="007B16E1"/>
    <w:rsid w:val="007B514D"/>
    <w:rsid w:val="007B6553"/>
    <w:rsid w:val="007C09ED"/>
    <w:rsid w:val="007C0D12"/>
    <w:rsid w:val="007C2B93"/>
    <w:rsid w:val="007D103F"/>
    <w:rsid w:val="007D1DA2"/>
    <w:rsid w:val="007D41B1"/>
    <w:rsid w:val="007D44D7"/>
    <w:rsid w:val="007D46E3"/>
    <w:rsid w:val="007D5CA2"/>
    <w:rsid w:val="007E1DAC"/>
    <w:rsid w:val="007E4418"/>
    <w:rsid w:val="007E7B8C"/>
    <w:rsid w:val="007F0F85"/>
    <w:rsid w:val="007F1E2C"/>
    <w:rsid w:val="007F6571"/>
    <w:rsid w:val="007F6EFA"/>
    <w:rsid w:val="00802876"/>
    <w:rsid w:val="00802F01"/>
    <w:rsid w:val="008063B2"/>
    <w:rsid w:val="008065ED"/>
    <w:rsid w:val="00810DB7"/>
    <w:rsid w:val="00811572"/>
    <w:rsid w:val="00813CFC"/>
    <w:rsid w:val="00814908"/>
    <w:rsid w:val="008149AF"/>
    <w:rsid w:val="0081627A"/>
    <w:rsid w:val="00816DC8"/>
    <w:rsid w:val="00820FA0"/>
    <w:rsid w:val="008237E2"/>
    <w:rsid w:val="0082526E"/>
    <w:rsid w:val="008268E5"/>
    <w:rsid w:val="008311E8"/>
    <w:rsid w:val="008317EC"/>
    <w:rsid w:val="00831AD9"/>
    <w:rsid w:val="0083544B"/>
    <w:rsid w:val="008363FC"/>
    <w:rsid w:val="00837EDD"/>
    <w:rsid w:val="008401C0"/>
    <w:rsid w:val="0084128D"/>
    <w:rsid w:val="0084157C"/>
    <w:rsid w:val="008445D7"/>
    <w:rsid w:val="008452CF"/>
    <w:rsid w:val="00845A31"/>
    <w:rsid w:val="0084691E"/>
    <w:rsid w:val="00846A25"/>
    <w:rsid w:val="00854E7B"/>
    <w:rsid w:val="00862982"/>
    <w:rsid w:val="00863580"/>
    <w:rsid w:val="00863B3E"/>
    <w:rsid w:val="0086741F"/>
    <w:rsid w:val="00870D88"/>
    <w:rsid w:val="008754C2"/>
    <w:rsid w:val="008757FD"/>
    <w:rsid w:val="00876B85"/>
    <w:rsid w:val="0088015E"/>
    <w:rsid w:val="00881C88"/>
    <w:rsid w:val="00881DD8"/>
    <w:rsid w:val="00882D65"/>
    <w:rsid w:val="0088317D"/>
    <w:rsid w:val="00885163"/>
    <w:rsid w:val="008853B8"/>
    <w:rsid w:val="00885421"/>
    <w:rsid w:val="008A68D9"/>
    <w:rsid w:val="008A76C0"/>
    <w:rsid w:val="008B5B27"/>
    <w:rsid w:val="008B6B75"/>
    <w:rsid w:val="008C0E6D"/>
    <w:rsid w:val="008C10DC"/>
    <w:rsid w:val="008C1305"/>
    <w:rsid w:val="008C28E9"/>
    <w:rsid w:val="008C7376"/>
    <w:rsid w:val="008C7A35"/>
    <w:rsid w:val="008D0834"/>
    <w:rsid w:val="008D1A6A"/>
    <w:rsid w:val="008D34E9"/>
    <w:rsid w:val="008D5C55"/>
    <w:rsid w:val="008D5EA8"/>
    <w:rsid w:val="008D6541"/>
    <w:rsid w:val="008D7DB7"/>
    <w:rsid w:val="008E2158"/>
    <w:rsid w:val="008E2DC4"/>
    <w:rsid w:val="008E2E42"/>
    <w:rsid w:val="008F2092"/>
    <w:rsid w:val="008F22D0"/>
    <w:rsid w:val="008F6242"/>
    <w:rsid w:val="009027A6"/>
    <w:rsid w:val="00904759"/>
    <w:rsid w:val="009049C3"/>
    <w:rsid w:val="00904AC3"/>
    <w:rsid w:val="009065FE"/>
    <w:rsid w:val="00910B4E"/>
    <w:rsid w:val="00916273"/>
    <w:rsid w:val="00916E35"/>
    <w:rsid w:val="0092067A"/>
    <w:rsid w:val="00921B0A"/>
    <w:rsid w:val="009229AA"/>
    <w:rsid w:val="009231F5"/>
    <w:rsid w:val="0093058F"/>
    <w:rsid w:val="00931035"/>
    <w:rsid w:val="009319F6"/>
    <w:rsid w:val="009324EB"/>
    <w:rsid w:val="00932EEC"/>
    <w:rsid w:val="00933D3E"/>
    <w:rsid w:val="00934344"/>
    <w:rsid w:val="00944B13"/>
    <w:rsid w:val="00945D8E"/>
    <w:rsid w:val="00945E85"/>
    <w:rsid w:val="0095039B"/>
    <w:rsid w:val="009536E2"/>
    <w:rsid w:val="00962742"/>
    <w:rsid w:val="009649E1"/>
    <w:rsid w:val="00965E1F"/>
    <w:rsid w:val="009661ED"/>
    <w:rsid w:val="00966F2E"/>
    <w:rsid w:val="009700D2"/>
    <w:rsid w:val="00970699"/>
    <w:rsid w:val="00970D53"/>
    <w:rsid w:val="00971494"/>
    <w:rsid w:val="00972015"/>
    <w:rsid w:val="00972B0E"/>
    <w:rsid w:val="00973E7A"/>
    <w:rsid w:val="009767CB"/>
    <w:rsid w:val="00977DA1"/>
    <w:rsid w:val="00980F06"/>
    <w:rsid w:val="00981881"/>
    <w:rsid w:val="009825C1"/>
    <w:rsid w:val="00982F8C"/>
    <w:rsid w:val="0098307F"/>
    <w:rsid w:val="00984569"/>
    <w:rsid w:val="00985E72"/>
    <w:rsid w:val="00985FEB"/>
    <w:rsid w:val="0098704B"/>
    <w:rsid w:val="00987534"/>
    <w:rsid w:val="00991259"/>
    <w:rsid w:val="0099231B"/>
    <w:rsid w:val="00993404"/>
    <w:rsid w:val="0099565D"/>
    <w:rsid w:val="009956D7"/>
    <w:rsid w:val="00995ACA"/>
    <w:rsid w:val="009A4DBF"/>
    <w:rsid w:val="009A54B1"/>
    <w:rsid w:val="009A6A88"/>
    <w:rsid w:val="009A7A9E"/>
    <w:rsid w:val="009B09DA"/>
    <w:rsid w:val="009B0C86"/>
    <w:rsid w:val="009B1F1B"/>
    <w:rsid w:val="009B2F1D"/>
    <w:rsid w:val="009B300A"/>
    <w:rsid w:val="009B4674"/>
    <w:rsid w:val="009B4EA9"/>
    <w:rsid w:val="009C1529"/>
    <w:rsid w:val="009C3FF4"/>
    <w:rsid w:val="009D05E9"/>
    <w:rsid w:val="009D3550"/>
    <w:rsid w:val="009D3E7C"/>
    <w:rsid w:val="009D497E"/>
    <w:rsid w:val="009E1987"/>
    <w:rsid w:val="009E404B"/>
    <w:rsid w:val="009E444B"/>
    <w:rsid w:val="009E5F9E"/>
    <w:rsid w:val="009E7F33"/>
    <w:rsid w:val="009F0AA6"/>
    <w:rsid w:val="009F0AB4"/>
    <w:rsid w:val="009F333F"/>
    <w:rsid w:val="009F46AF"/>
    <w:rsid w:val="009F4965"/>
    <w:rsid w:val="009F64F6"/>
    <w:rsid w:val="00A0042E"/>
    <w:rsid w:val="00A0224B"/>
    <w:rsid w:val="00A031AB"/>
    <w:rsid w:val="00A05CE2"/>
    <w:rsid w:val="00A05F57"/>
    <w:rsid w:val="00A0757B"/>
    <w:rsid w:val="00A10E9B"/>
    <w:rsid w:val="00A12810"/>
    <w:rsid w:val="00A12ECF"/>
    <w:rsid w:val="00A21652"/>
    <w:rsid w:val="00A25065"/>
    <w:rsid w:val="00A26910"/>
    <w:rsid w:val="00A26B79"/>
    <w:rsid w:val="00A3109C"/>
    <w:rsid w:val="00A3384B"/>
    <w:rsid w:val="00A36B97"/>
    <w:rsid w:val="00A4040D"/>
    <w:rsid w:val="00A44E0A"/>
    <w:rsid w:val="00A4526D"/>
    <w:rsid w:val="00A465FB"/>
    <w:rsid w:val="00A46A9D"/>
    <w:rsid w:val="00A46C00"/>
    <w:rsid w:val="00A51ADF"/>
    <w:rsid w:val="00A51E7C"/>
    <w:rsid w:val="00A54D22"/>
    <w:rsid w:val="00A56C8B"/>
    <w:rsid w:val="00A56D05"/>
    <w:rsid w:val="00A60E45"/>
    <w:rsid w:val="00A63C34"/>
    <w:rsid w:val="00A63E7F"/>
    <w:rsid w:val="00A65291"/>
    <w:rsid w:val="00A672D4"/>
    <w:rsid w:val="00A72B46"/>
    <w:rsid w:val="00A7384E"/>
    <w:rsid w:val="00A74F3D"/>
    <w:rsid w:val="00A8000C"/>
    <w:rsid w:val="00A84B05"/>
    <w:rsid w:val="00A85023"/>
    <w:rsid w:val="00A90E31"/>
    <w:rsid w:val="00A94D07"/>
    <w:rsid w:val="00A960F6"/>
    <w:rsid w:val="00AA1C05"/>
    <w:rsid w:val="00AA2554"/>
    <w:rsid w:val="00AA2D13"/>
    <w:rsid w:val="00AA4E74"/>
    <w:rsid w:val="00AA74B4"/>
    <w:rsid w:val="00AA757E"/>
    <w:rsid w:val="00AA7A67"/>
    <w:rsid w:val="00AB03ED"/>
    <w:rsid w:val="00AB0872"/>
    <w:rsid w:val="00AB26D6"/>
    <w:rsid w:val="00AB2AF6"/>
    <w:rsid w:val="00AB4115"/>
    <w:rsid w:val="00AB7CF2"/>
    <w:rsid w:val="00AC01FE"/>
    <w:rsid w:val="00AC0B40"/>
    <w:rsid w:val="00AC1EE7"/>
    <w:rsid w:val="00AC2695"/>
    <w:rsid w:val="00AC2D52"/>
    <w:rsid w:val="00AC5273"/>
    <w:rsid w:val="00AC5410"/>
    <w:rsid w:val="00AC6B20"/>
    <w:rsid w:val="00AD0660"/>
    <w:rsid w:val="00AD5563"/>
    <w:rsid w:val="00AD57B9"/>
    <w:rsid w:val="00AD6AE5"/>
    <w:rsid w:val="00AD7160"/>
    <w:rsid w:val="00AE0163"/>
    <w:rsid w:val="00AE174E"/>
    <w:rsid w:val="00AE208F"/>
    <w:rsid w:val="00AE4246"/>
    <w:rsid w:val="00AE6ED6"/>
    <w:rsid w:val="00AE7B1B"/>
    <w:rsid w:val="00AF20A0"/>
    <w:rsid w:val="00AF6B7A"/>
    <w:rsid w:val="00B04C86"/>
    <w:rsid w:val="00B06236"/>
    <w:rsid w:val="00B1036B"/>
    <w:rsid w:val="00B11577"/>
    <w:rsid w:val="00B12518"/>
    <w:rsid w:val="00B12582"/>
    <w:rsid w:val="00B141F7"/>
    <w:rsid w:val="00B16CD8"/>
    <w:rsid w:val="00B17AD3"/>
    <w:rsid w:val="00B2093A"/>
    <w:rsid w:val="00B21317"/>
    <w:rsid w:val="00B213B0"/>
    <w:rsid w:val="00B215CA"/>
    <w:rsid w:val="00B232A7"/>
    <w:rsid w:val="00B23EFC"/>
    <w:rsid w:val="00B257A6"/>
    <w:rsid w:val="00B26EE3"/>
    <w:rsid w:val="00B27502"/>
    <w:rsid w:val="00B27732"/>
    <w:rsid w:val="00B27FA2"/>
    <w:rsid w:val="00B30EE3"/>
    <w:rsid w:val="00B313A1"/>
    <w:rsid w:val="00B318D8"/>
    <w:rsid w:val="00B343D4"/>
    <w:rsid w:val="00B34C81"/>
    <w:rsid w:val="00B34FA3"/>
    <w:rsid w:val="00B35D4D"/>
    <w:rsid w:val="00B431CA"/>
    <w:rsid w:val="00B43950"/>
    <w:rsid w:val="00B4410B"/>
    <w:rsid w:val="00B45DF8"/>
    <w:rsid w:val="00B4779F"/>
    <w:rsid w:val="00B477F1"/>
    <w:rsid w:val="00B47933"/>
    <w:rsid w:val="00B47D2E"/>
    <w:rsid w:val="00B50472"/>
    <w:rsid w:val="00B504A8"/>
    <w:rsid w:val="00B52327"/>
    <w:rsid w:val="00B52AA1"/>
    <w:rsid w:val="00B52EE1"/>
    <w:rsid w:val="00B53880"/>
    <w:rsid w:val="00B55282"/>
    <w:rsid w:val="00B55540"/>
    <w:rsid w:val="00B55ACB"/>
    <w:rsid w:val="00B5697C"/>
    <w:rsid w:val="00B57809"/>
    <w:rsid w:val="00B632A5"/>
    <w:rsid w:val="00B63A86"/>
    <w:rsid w:val="00B649BE"/>
    <w:rsid w:val="00B64DFF"/>
    <w:rsid w:val="00B65CDA"/>
    <w:rsid w:val="00B7151C"/>
    <w:rsid w:val="00B72EB8"/>
    <w:rsid w:val="00B733AB"/>
    <w:rsid w:val="00B7367A"/>
    <w:rsid w:val="00B73A48"/>
    <w:rsid w:val="00B73E0E"/>
    <w:rsid w:val="00B74A8D"/>
    <w:rsid w:val="00B75079"/>
    <w:rsid w:val="00B752AC"/>
    <w:rsid w:val="00B75492"/>
    <w:rsid w:val="00B83594"/>
    <w:rsid w:val="00B83B5D"/>
    <w:rsid w:val="00B853B6"/>
    <w:rsid w:val="00B86857"/>
    <w:rsid w:val="00B87539"/>
    <w:rsid w:val="00B90DE1"/>
    <w:rsid w:val="00B914BF"/>
    <w:rsid w:val="00B917CA"/>
    <w:rsid w:val="00B928CB"/>
    <w:rsid w:val="00BA007F"/>
    <w:rsid w:val="00BA3608"/>
    <w:rsid w:val="00BB07CF"/>
    <w:rsid w:val="00BB2B42"/>
    <w:rsid w:val="00BB5757"/>
    <w:rsid w:val="00BB58A8"/>
    <w:rsid w:val="00BB5CA8"/>
    <w:rsid w:val="00BB7F4C"/>
    <w:rsid w:val="00BC22DE"/>
    <w:rsid w:val="00BC3E88"/>
    <w:rsid w:val="00BC6FF8"/>
    <w:rsid w:val="00BD6B2B"/>
    <w:rsid w:val="00BD6E1B"/>
    <w:rsid w:val="00BD76A9"/>
    <w:rsid w:val="00BD7B14"/>
    <w:rsid w:val="00BE2984"/>
    <w:rsid w:val="00BE42DB"/>
    <w:rsid w:val="00BE6914"/>
    <w:rsid w:val="00BE7644"/>
    <w:rsid w:val="00BF1052"/>
    <w:rsid w:val="00BF1D33"/>
    <w:rsid w:val="00BF5EC1"/>
    <w:rsid w:val="00BF6243"/>
    <w:rsid w:val="00BF6D0C"/>
    <w:rsid w:val="00C03206"/>
    <w:rsid w:val="00C05CCC"/>
    <w:rsid w:val="00C07376"/>
    <w:rsid w:val="00C13E66"/>
    <w:rsid w:val="00C153AE"/>
    <w:rsid w:val="00C160FD"/>
    <w:rsid w:val="00C17D7F"/>
    <w:rsid w:val="00C17DC9"/>
    <w:rsid w:val="00C21CD7"/>
    <w:rsid w:val="00C24258"/>
    <w:rsid w:val="00C244C0"/>
    <w:rsid w:val="00C247C1"/>
    <w:rsid w:val="00C27F93"/>
    <w:rsid w:val="00C310B1"/>
    <w:rsid w:val="00C333E4"/>
    <w:rsid w:val="00C33D92"/>
    <w:rsid w:val="00C4130A"/>
    <w:rsid w:val="00C4272B"/>
    <w:rsid w:val="00C4343F"/>
    <w:rsid w:val="00C4583B"/>
    <w:rsid w:val="00C47837"/>
    <w:rsid w:val="00C47AB9"/>
    <w:rsid w:val="00C500F7"/>
    <w:rsid w:val="00C5274A"/>
    <w:rsid w:val="00C528E5"/>
    <w:rsid w:val="00C5341A"/>
    <w:rsid w:val="00C54BDE"/>
    <w:rsid w:val="00C56B65"/>
    <w:rsid w:val="00C60BAE"/>
    <w:rsid w:val="00C61203"/>
    <w:rsid w:val="00C6169F"/>
    <w:rsid w:val="00C644B8"/>
    <w:rsid w:val="00C679C8"/>
    <w:rsid w:val="00C71220"/>
    <w:rsid w:val="00C71C5C"/>
    <w:rsid w:val="00C72E42"/>
    <w:rsid w:val="00C74547"/>
    <w:rsid w:val="00C9075C"/>
    <w:rsid w:val="00C92CE6"/>
    <w:rsid w:val="00C953F7"/>
    <w:rsid w:val="00C9547D"/>
    <w:rsid w:val="00C970DC"/>
    <w:rsid w:val="00CA380B"/>
    <w:rsid w:val="00CA41F4"/>
    <w:rsid w:val="00CB0CAD"/>
    <w:rsid w:val="00CB513B"/>
    <w:rsid w:val="00CB567F"/>
    <w:rsid w:val="00CC15F3"/>
    <w:rsid w:val="00CC28E3"/>
    <w:rsid w:val="00CC5632"/>
    <w:rsid w:val="00CC627D"/>
    <w:rsid w:val="00CC6505"/>
    <w:rsid w:val="00CD0BCB"/>
    <w:rsid w:val="00CD6E54"/>
    <w:rsid w:val="00CE0556"/>
    <w:rsid w:val="00CE1528"/>
    <w:rsid w:val="00CE4496"/>
    <w:rsid w:val="00CE5358"/>
    <w:rsid w:val="00CE60DE"/>
    <w:rsid w:val="00CF0DD2"/>
    <w:rsid w:val="00D00086"/>
    <w:rsid w:val="00D0030D"/>
    <w:rsid w:val="00D074C2"/>
    <w:rsid w:val="00D07DF0"/>
    <w:rsid w:val="00D12183"/>
    <w:rsid w:val="00D128DC"/>
    <w:rsid w:val="00D12E31"/>
    <w:rsid w:val="00D17439"/>
    <w:rsid w:val="00D21FCF"/>
    <w:rsid w:val="00D22C46"/>
    <w:rsid w:val="00D22F84"/>
    <w:rsid w:val="00D24C33"/>
    <w:rsid w:val="00D31C66"/>
    <w:rsid w:val="00D35750"/>
    <w:rsid w:val="00D35F86"/>
    <w:rsid w:val="00D37506"/>
    <w:rsid w:val="00D37AD0"/>
    <w:rsid w:val="00D40D51"/>
    <w:rsid w:val="00D46CFB"/>
    <w:rsid w:val="00D46F6E"/>
    <w:rsid w:val="00D50492"/>
    <w:rsid w:val="00D51204"/>
    <w:rsid w:val="00D53150"/>
    <w:rsid w:val="00D53E04"/>
    <w:rsid w:val="00D61712"/>
    <w:rsid w:val="00D64931"/>
    <w:rsid w:val="00D6579E"/>
    <w:rsid w:val="00D662AA"/>
    <w:rsid w:val="00D66F20"/>
    <w:rsid w:val="00D70C97"/>
    <w:rsid w:val="00D73BBB"/>
    <w:rsid w:val="00D74D2D"/>
    <w:rsid w:val="00D7530B"/>
    <w:rsid w:val="00D771B8"/>
    <w:rsid w:val="00D77ECA"/>
    <w:rsid w:val="00D804AB"/>
    <w:rsid w:val="00D82A68"/>
    <w:rsid w:val="00D83184"/>
    <w:rsid w:val="00D87FA4"/>
    <w:rsid w:val="00D91151"/>
    <w:rsid w:val="00D9195B"/>
    <w:rsid w:val="00DA066B"/>
    <w:rsid w:val="00DA07C6"/>
    <w:rsid w:val="00DA10BE"/>
    <w:rsid w:val="00DA1A44"/>
    <w:rsid w:val="00DA27B2"/>
    <w:rsid w:val="00DA29EC"/>
    <w:rsid w:val="00DA2A77"/>
    <w:rsid w:val="00DA4232"/>
    <w:rsid w:val="00DA557C"/>
    <w:rsid w:val="00DA56DB"/>
    <w:rsid w:val="00DA74FB"/>
    <w:rsid w:val="00DB11C7"/>
    <w:rsid w:val="00DB1F6B"/>
    <w:rsid w:val="00DB28A1"/>
    <w:rsid w:val="00DB6026"/>
    <w:rsid w:val="00DB60EA"/>
    <w:rsid w:val="00DB7245"/>
    <w:rsid w:val="00DC1CB5"/>
    <w:rsid w:val="00DC35F0"/>
    <w:rsid w:val="00DC440E"/>
    <w:rsid w:val="00DD2B57"/>
    <w:rsid w:val="00DD3D6C"/>
    <w:rsid w:val="00DD4DAF"/>
    <w:rsid w:val="00DD783F"/>
    <w:rsid w:val="00DE373F"/>
    <w:rsid w:val="00DE78E1"/>
    <w:rsid w:val="00DF1C39"/>
    <w:rsid w:val="00DF21C8"/>
    <w:rsid w:val="00DF25E4"/>
    <w:rsid w:val="00DF28F8"/>
    <w:rsid w:val="00DF4753"/>
    <w:rsid w:val="00DF4D13"/>
    <w:rsid w:val="00DF7231"/>
    <w:rsid w:val="00DF7DAF"/>
    <w:rsid w:val="00E02F39"/>
    <w:rsid w:val="00E0470A"/>
    <w:rsid w:val="00E10518"/>
    <w:rsid w:val="00E15884"/>
    <w:rsid w:val="00E174F5"/>
    <w:rsid w:val="00E237DC"/>
    <w:rsid w:val="00E27DD4"/>
    <w:rsid w:val="00E320B5"/>
    <w:rsid w:val="00E328CF"/>
    <w:rsid w:val="00E33CF8"/>
    <w:rsid w:val="00E352A5"/>
    <w:rsid w:val="00E44796"/>
    <w:rsid w:val="00E46CD8"/>
    <w:rsid w:val="00E50F3E"/>
    <w:rsid w:val="00E5132F"/>
    <w:rsid w:val="00E52509"/>
    <w:rsid w:val="00E5286B"/>
    <w:rsid w:val="00E568FD"/>
    <w:rsid w:val="00E570C2"/>
    <w:rsid w:val="00E57A85"/>
    <w:rsid w:val="00E60411"/>
    <w:rsid w:val="00E62B6D"/>
    <w:rsid w:val="00E645E1"/>
    <w:rsid w:val="00E713A4"/>
    <w:rsid w:val="00E7353C"/>
    <w:rsid w:val="00E74E61"/>
    <w:rsid w:val="00E773F3"/>
    <w:rsid w:val="00E81BCF"/>
    <w:rsid w:val="00E84C50"/>
    <w:rsid w:val="00E8520C"/>
    <w:rsid w:val="00E85328"/>
    <w:rsid w:val="00E866E2"/>
    <w:rsid w:val="00E867C1"/>
    <w:rsid w:val="00E879A2"/>
    <w:rsid w:val="00E918B3"/>
    <w:rsid w:val="00E93172"/>
    <w:rsid w:val="00E95826"/>
    <w:rsid w:val="00E97742"/>
    <w:rsid w:val="00EA1A93"/>
    <w:rsid w:val="00EA27B3"/>
    <w:rsid w:val="00EA7343"/>
    <w:rsid w:val="00EA7623"/>
    <w:rsid w:val="00EA78A5"/>
    <w:rsid w:val="00EB37D8"/>
    <w:rsid w:val="00EB3B32"/>
    <w:rsid w:val="00EB5734"/>
    <w:rsid w:val="00EB5F79"/>
    <w:rsid w:val="00EC1DB2"/>
    <w:rsid w:val="00EC3D1E"/>
    <w:rsid w:val="00EC785B"/>
    <w:rsid w:val="00ED069D"/>
    <w:rsid w:val="00ED30F0"/>
    <w:rsid w:val="00ED701E"/>
    <w:rsid w:val="00ED7ABB"/>
    <w:rsid w:val="00ED7DED"/>
    <w:rsid w:val="00EE7770"/>
    <w:rsid w:val="00EF21E7"/>
    <w:rsid w:val="00F057D6"/>
    <w:rsid w:val="00F10ACE"/>
    <w:rsid w:val="00F111E4"/>
    <w:rsid w:val="00F12D41"/>
    <w:rsid w:val="00F24BB1"/>
    <w:rsid w:val="00F31744"/>
    <w:rsid w:val="00F33A57"/>
    <w:rsid w:val="00F355E4"/>
    <w:rsid w:val="00F37E7C"/>
    <w:rsid w:val="00F41338"/>
    <w:rsid w:val="00F45795"/>
    <w:rsid w:val="00F460E8"/>
    <w:rsid w:val="00F4617B"/>
    <w:rsid w:val="00F473A8"/>
    <w:rsid w:val="00F47751"/>
    <w:rsid w:val="00F53440"/>
    <w:rsid w:val="00F53A25"/>
    <w:rsid w:val="00F564C7"/>
    <w:rsid w:val="00F56EF3"/>
    <w:rsid w:val="00F6298C"/>
    <w:rsid w:val="00F666E0"/>
    <w:rsid w:val="00F66CB6"/>
    <w:rsid w:val="00F7050B"/>
    <w:rsid w:val="00F71E16"/>
    <w:rsid w:val="00F71F8F"/>
    <w:rsid w:val="00F726E4"/>
    <w:rsid w:val="00F7408A"/>
    <w:rsid w:val="00F7454F"/>
    <w:rsid w:val="00F813DE"/>
    <w:rsid w:val="00F81790"/>
    <w:rsid w:val="00F82C82"/>
    <w:rsid w:val="00F83E73"/>
    <w:rsid w:val="00F848CB"/>
    <w:rsid w:val="00F857B9"/>
    <w:rsid w:val="00F91BD1"/>
    <w:rsid w:val="00F971A2"/>
    <w:rsid w:val="00F97799"/>
    <w:rsid w:val="00FA4111"/>
    <w:rsid w:val="00FA4250"/>
    <w:rsid w:val="00FB2D9F"/>
    <w:rsid w:val="00FB3181"/>
    <w:rsid w:val="00FB7D13"/>
    <w:rsid w:val="00FC29F8"/>
    <w:rsid w:val="00FC538B"/>
    <w:rsid w:val="00FC6466"/>
    <w:rsid w:val="00FC7922"/>
    <w:rsid w:val="00FC7A08"/>
    <w:rsid w:val="00FD053F"/>
    <w:rsid w:val="00FD2282"/>
    <w:rsid w:val="00FD37D3"/>
    <w:rsid w:val="00FD396B"/>
    <w:rsid w:val="00FD3D83"/>
    <w:rsid w:val="00FD4EFF"/>
    <w:rsid w:val="00FD51C7"/>
    <w:rsid w:val="00FD5A3A"/>
    <w:rsid w:val="00FE636F"/>
    <w:rsid w:val="00FE676B"/>
    <w:rsid w:val="00FF07A1"/>
    <w:rsid w:val="00FF19AF"/>
    <w:rsid w:val="00FF3D1F"/>
    <w:rsid w:val="00FF5FCA"/>
    <w:rsid w:val="00FF648F"/>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F0C9E"/>
  <w15:docId w15:val="{44D4648B-7E52-4823-9498-05C772FA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DC9"/>
    <w:pPr>
      <w:spacing w:after="0" w:line="240" w:lineRule="auto"/>
    </w:pPr>
  </w:style>
  <w:style w:type="paragraph" w:styleId="Header">
    <w:name w:val="header"/>
    <w:basedOn w:val="Normal"/>
    <w:link w:val="HeaderChar"/>
    <w:uiPriority w:val="99"/>
    <w:unhideWhenUsed/>
    <w:rsid w:val="007B0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897"/>
  </w:style>
  <w:style w:type="paragraph" w:styleId="Footer">
    <w:name w:val="footer"/>
    <w:basedOn w:val="Normal"/>
    <w:link w:val="FooterChar"/>
    <w:uiPriority w:val="99"/>
    <w:unhideWhenUsed/>
    <w:rsid w:val="007B0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897"/>
  </w:style>
  <w:style w:type="paragraph" w:styleId="BalloonText">
    <w:name w:val="Balloon Text"/>
    <w:basedOn w:val="Normal"/>
    <w:link w:val="BalloonTextChar"/>
    <w:uiPriority w:val="99"/>
    <w:semiHidden/>
    <w:unhideWhenUsed/>
    <w:rsid w:val="00506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2A"/>
    <w:rPr>
      <w:rFonts w:ascii="Tahoma" w:hAnsi="Tahoma" w:cs="Tahoma"/>
      <w:sz w:val="16"/>
      <w:szCs w:val="16"/>
    </w:rPr>
  </w:style>
  <w:style w:type="character" w:styleId="CommentReference">
    <w:name w:val="annotation reference"/>
    <w:basedOn w:val="DefaultParagraphFont"/>
    <w:uiPriority w:val="99"/>
    <w:semiHidden/>
    <w:unhideWhenUsed/>
    <w:rsid w:val="00361415"/>
    <w:rPr>
      <w:sz w:val="16"/>
      <w:szCs w:val="16"/>
    </w:rPr>
  </w:style>
  <w:style w:type="paragraph" w:styleId="CommentText">
    <w:name w:val="annotation text"/>
    <w:basedOn w:val="Normal"/>
    <w:link w:val="CommentTextChar"/>
    <w:uiPriority w:val="99"/>
    <w:unhideWhenUsed/>
    <w:rsid w:val="00361415"/>
    <w:pPr>
      <w:spacing w:line="240" w:lineRule="auto"/>
    </w:pPr>
    <w:rPr>
      <w:sz w:val="20"/>
      <w:szCs w:val="20"/>
    </w:rPr>
  </w:style>
  <w:style w:type="character" w:customStyle="1" w:styleId="CommentTextChar">
    <w:name w:val="Comment Text Char"/>
    <w:basedOn w:val="DefaultParagraphFont"/>
    <w:link w:val="CommentText"/>
    <w:uiPriority w:val="99"/>
    <w:rsid w:val="00361415"/>
    <w:rPr>
      <w:sz w:val="20"/>
      <w:szCs w:val="20"/>
    </w:rPr>
  </w:style>
  <w:style w:type="paragraph" w:styleId="CommentSubject">
    <w:name w:val="annotation subject"/>
    <w:basedOn w:val="CommentText"/>
    <w:next w:val="CommentText"/>
    <w:link w:val="CommentSubjectChar"/>
    <w:uiPriority w:val="99"/>
    <w:semiHidden/>
    <w:unhideWhenUsed/>
    <w:rsid w:val="00361415"/>
    <w:rPr>
      <w:b/>
      <w:bCs/>
    </w:rPr>
  </w:style>
  <w:style w:type="character" w:customStyle="1" w:styleId="CommentSubjectChar">
    <w:name w:val="Comment Subject Char"/>
    <w:basedOn w:val="CommentTextChar"/>
    <w:link w:val="CommentSubject"/>
    <w:uiPriority w:val="99"/>
    <w:semiHidden/>
    <w:rsid w:val="00361415"/>
    <w:rPr>
      <w:b/>
      <w:bCs/>
      <w:sz w:val="20"/>
      <w:szCs w:val="20"/>
    </w:rPr>
  </w:style>
  <w:style w:type="paragraph" w:customStyle="1" w:styleId="Default">
    <w:name w:val="Default"/>
    <w:rsid w:val="0081627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1627A"/>
    <w:pPr>
      <w:spacing w:after="0" w:line="240" w:lineRule="auto"/>
    </w:pPr>
  </w:style>
  <w:style w:type="character" w:styleId="Hyperlink">
    <w:name w:val="Hyperlink"/>
    <w:basedOn w:val="DefaultParagraphFont"/>
    <w:uiPriority w:val="99"/>
    <w:unhideWhenUsed/>
    <w:rsid w:val="00175E12"/>
    <w:rPr>
      <w:color w:val="0000FF" w:themeColor="hyperlink"/>
      <w:u w:val="single"/>
    </w:rPr>
  </w:style>
  <w:style w:type="paragraph" w:styleId="ListParagraph">
    <w:name w:val="List Paragraph"/>
    <w:basedOn w:val="Normal"/>
    <w:uiPriority w:val="34"/>
    <w:qFormat/>
    <w:rsid w:val="008C28E9"/>
    <w:pPr>
      <w:ind w:left="720"/>
      <w:contextualSpacing/>
    </w:pPr>
  </w:style>
  <w:style w:type="character" w:styleId="UnresolvedMention">
    <w:name w:val="Unresolved Mention"/>
    <w:basedOn w:val="DefaultParagraphFont"/>
    <w:uiPriority w:val="99"/>
    <w:semiHidden/>
    <w:unhideWhenUsed/>
    <w:rsid w:val="00FF3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7090">
      <w:bodyDiv w:val="1"/>
      <w:marLeft w:val="0"/>
      <w:marRight w:val="0"/>
      <w:marTop w:val="0"/>
      <w:marBottom w:val="0"/>
      <w:divBdr>
        <w:top w:val="none" w:sz="0" w:space="0" w:color="auto"/>
        <w:left w:val="none" w:sz="0" w:space="0" w:color="auto"/>
        <w:bottom w:val="none" w:sz="0" w:space="0" w:color="auto"/>
        <w:right w:val="none" w:sz="0" w:space="0" w:color="auto"/>
      </w:divBdr>
    </w:div>
    <w:div w:id="220945178">
      <w:bodyDiv w:val="1"/>
      <w:marLeft w:val="0"/>
      <w:marRight w:val="0"/>
      <w:marTop w:val="0"/>
      <w:marBottom w:val="0"/>
      <w:divBdr>
        <w:top w:val="none" w:sz="0" w:space="0" w:color="auto"/>
        <w:left w:val="none" w:sz="0" w:space="0" w:color="auto"/>
        <w:bottom w:val="none" w:sz="0" w:space="0" w:color="auto"/>
        <w:right w:val="none" w:sz="0" w:space="0" w:color="auto"/>
      </w:divBdr>
    </w:div>
    <w:div w:id="248465445">
      <w:bodyDiv w:val="1"/>
      <w:marLeft w:val="0"/>
      <w:marRight w:val="0"/>
      <w:marTop w:val="0"/>
      <w:marBottom w:val="0"/>
      <w:divBdr>
        <w:top w:val="none" w:sz="0" w:space="0" w:color="auto"/>
        <w:left w:val="none" w:sz="0" w:space="0" w:color="auto"/>
        <w:bottom w:val="none" w:sz="0" w:space="0" w:color="auto"/>
        <w:right w:val="none" w:sz="0" w:space="0" w:color="auto"/>
      </w:divBdr>
    </w:div>
    <w:div w:id="419714114">
      <w:bodyDiv w:val="1"/>
      <w:marLeft w:val="0"/>
      <w:marRight w:val="0"/>
      <w:marTop w:val="0"/>
      <w:marBottom w:val="0"/>
      <w:divBdr>
        <w:top w:val="none" w:sz="0" w:space="0" w:color="auto"/>
        <w:left w:val="none" w:sz="0" w:space="0" w:color="auto"/>
        <w:bottom w:val="none" w:sz="0" w:space="0" w:color="auto"/>
        <w:right w:val="none" w:sz="0" w:space="0" w:color="auto"/>
      </w:divBdr>
    </w:div>
    <w:div w:id="442069676">
      <w:bodyDiv w:val="1"/>
      <w:marLeft w:val="0"/>
      <w:marRight w:val="0"/>
      <w:marTop w:val="0"/>
      <w:marBottom w:val="0"/>
      <w:divBdr>
        <w:top w:val="none" w:sz="0" w:space="0" w:color="auto"/>
        <w:left w:val="none" w:sz="0" w:space="0" w:color="auto"/>
        <w:bottom w:val="none" w:sz="0" w:space="0" w:color="auto"/>
        <w:right w:val="none" w:sz="0" w:space="0" w:color="auto"/>
      </w:divBdr>
    </w:div>
    <w:div w:id="544173274">
      <w:bodyDiv w:val="1"/>
      <w:marLeft w:val="0"/>
      <w:marRight w:val="0"/>
      <w:marTop w:val="0"/>
      <w:marBottom w:val="0"/>
      <w:divBdr>
        <w:top w:val="none" w:sz="0" w:space="0" w:color="auto"/>
        <w:left w:val="none" w:sz="0" w:space="0" w:color="auto"/>
        <w:bottom w:val="none" w:sz="0" w:space="0" w:color="auto"/>
        <w:right w:val="none" w:sz="0" w:space="0" w:color="auto"/>
      </w:divBdr>
    </w:div>
    <w:div w:id="685139392">
      <w:bodyDiv w:val="1"/>
      <w:marLeft w:val="0"/>
      <w:marRight w:val="0"/>
      <w:marTop w:val="0"/>
      <w:marBottom w:val="0"/>
      <w:divBdr>
        <w:top w:val="none" w:sz="0" w:space="0" w:color="auto"/>
        <w:left w:val="none" w:sz="0" w:space="0" w:color="auto"/>
        <w:bottom w:val="none" w:sz="0" w:space="0" w:color="auto"/>
        <w:right w:val="none" w:sz="0" w:space="0" w:color="auto"/>
      </w:divBdr>
    </w:div>
    <w:div w:id="773747825">
      <w:bodyDiv w:val="1"/>
      <w:marLeft w:val="0"/>
      <w:marRight w:val="0"/>
      <w:marTop w:val="0"/>
      <w:marBottom w:val="0"/>
      <w:divBdr>
        <w:top w:val="none" w:sz="0" w:space="0" w:color="auto"/>
        <w:left w:val="none" w:sz="0" w:space="0" w:color="auto"/>
        <w:bottom w:val="none" w:sz="0" w:space="0" w:color="auto"/>
        <w:right w:val="none" w:sz="0" w:space="0" w:color="auto"/>
      </w:divBdr>
    </w:div>
    <w:div w:id="1139107613">
      <w:bodyDiv w:val="1"/>
      <w:marLeft w:val="0"/>
      <w:marRight w:val="0"/>
      <w:marTop w:val="0"/>
      <w:marBottom w:val="0"/>
      <w:divBdr>
        <w:top w:val="none" w:sz="0" w:space="0" w:color="auto"/>
        <w:left w:val="none" w:sz="0" w:space="0" w:color="auto"/>
        <w:bottom w:val="none" w:sz="0" w:space="0" w:color="auto"/>
        <w:right w:val="none" w:sz="0" w:space="0" w:color="auto"/>
      </w:divBdr>
    </w:div>
    <w:div w:id="1210728221">
      <w:bodyDiv w:val="1"/>
      <w:marLeft w:val="0"/>
      <w:marRight w:val="0"/>
      <w:marTop w:val="0"/>
      <w:marBottom w:val="0"/>
      <w:divBdr>
        <w:top w:val="none" w:sz="0" w:space="0" w:color="auto"/>
        <w:left w:val="none" w:sz="0" w:space="0" w:color="auto"/>
        <w:bottom w:val="none" w:sz="0" w:space="0" w:color="auto"/>
        <w:right w:val="none" w:sz="0" w:space="0" w:color="auto"/>
      </w:divBdr>
    </w:div>
    <w:div w:id="1829595614">
      <w:bodyDiv w:val="1"/>
      <w:marLeft w:val="0"/>
      <w:marRight w:val="0"/>
      <w:marTop w:val="0"/>
      <w:marBottom w:val="0"/>
      <w:divBdr>
        <w:top w:val="none" w:sz="0" w:space="0" w:color="auto"/>
        <w:left w:val="none" w:sz="0" w:space="0" w:color="auto"/>
        <w:bottom w:val="none" w:sz="0" w:space="0" w:color="auto"/>
        <w:right w:val="none" w:sz="0" w:space="0" w:color="auto"/>
      </w:divBdr>
    </w:div>
    <w:div w:id="20735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ahwendowment.org/allowable-and-unallowable-cos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2134</Words>
  <Characters>13066</Characters>
  <Application>Microsoft Office Word</Application>
  <DocSecurity>0</DocSecurity>
  <Lines>544</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 Wilkowski</dc:creator>
  <cp:lastModifiedBy>Enright, Julia</cp:lastModifiedBy>
  <cp:revision>11</cp:revision>
  <cp:lastPrinted>2018-11-01T18:11:00Z</cp:lastPrinted>
  <dcterms:created xsi:type="dcterms:W3CDTF">2025-03-18T14:54:00Z</dcterms:created>
  <dcterms:modified xsi:type="dcterms:W3CDTF">2025-05-07T19:40:00Z</dcterms:modified>
</cp:coreProperties>
</file>